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jc w:val="center"/>
        <w:spacing w:after="312" w:line="720" w:lineRule="auto"/>
        <w:rPr>
          <w:rFonts w:hint="eastAsia" w:ascii="宋体" w:hAnsi="宋体" w:cs="宋体"/>
          <w:b/>
          <w:sz w:val="60"/>
          <w:szCs w:val="60"/>
        </w:rPr>
      </w:pPr>
      <w:r>
        <w:rPr>
          <w:rFonts w:hint="eastAsia" w:ascii="宋体" w:hAnsi="宋体" w:cs="宋体"/>
          <w:b/>
          <w:spacing w:val="112"/>
          <w:sz w:val="60"/>
          <w:szCs w:val="60"/>
        </w:rPr>
        <w:t xml:space="preserve">常州市政府采购项</w:t>
      </w:r>
      <w:r>
        <w:rPr>
          <w:rFonts w:hint="eastAsia" w:ascii="宋体" w:hAnsi="宋体" w:cs="宋体"/>
          <w:b/>
          <w:spacing w:val="5"/>
          <w:sz w:val="60"/>
          <w:szCs w:val="60"/>
        </w:rPr>
        <w:t xml:space="preserve">目</w:t>
      </w:r>
      <w:r/>
    </w:p>
    <w:p>
      <w:pPr>
        <w:ind w:left="1028" w:hanging="1028"/>
        <w:jc w:val="center"/>
        <w:spacing w:after="312" w:line="720" w:lineRule="auto"/>
        <w:rPr>
          <w:rFonts w:hint="eastAsia" w:ascii="宋体" w:hAnsi="宋体" w:cs="宋体"/>
          <w:b/>
          <w:sz w:val="60"/>
          <w:szCs w:val="60"/>
        </w:rPr>
      </w:pPr>
      <w:r>
        <w:rPr>
          <w:rFonts w:hint="eastAsia" w:ascii="宋体" w:hAnsi="宋体" w:cs="宋体"/>
          <w:b/>
          <w:spacing w:val="240"/>
          <w:sz w:val="60"/>
          <w:szCs w:val="60"/>
        </w:rPr>
        <w:t xml:space="preserve">公开招标文</w:t>
      </w:r>
      <w:r>
        <w:rPr>
          <w:rFonts w:hint="eastAsia" w:ascii="宋体" w:hAnsi="宋体" w:cs="宋体"/>
          <w:b/>
          <w:spacing w:val="3"/>
          <w:sz w:val="60"/>
          <w:szCs w:val="60"/>
        </w:rPr>
        <w:t xml:space="preserve">件</w:t>
      </w:r>
      <w:r/>
    </w:p>
    <w:p>
      <w:pPr>
        <w:ind w:left="570" w:hanging="570"/>
        <w:jc w:val="center"/>
        <w:spacing w:line="360" w:lineRule="auto"/>
        <w:rPr>
          <w:rFonts w:hint="eastAsia" w:ascii="宋体" w:hAnsi="宋体" w:cs="宋体"/>
          <w:sz w:val="60"/>
          <w:szCs w:val="60"/>
        </w:rPr>
      </w:pPr>
      <w:r>
        <w:rPr>
          <w:rFonts w:hint="eastAsia" w:ascii="宋体" w:hAnsi="宋体" w:cs="宋体"/>
          <w:sz w:val="60"/>
          <w:szCs w:val="60"/>
        </w:rPr>
      </w:r>
      <w:r/>
    </w:p>
    <w:p>
      <w:pPr>
        <w:jc w:val="left"/>
        <w:spacing w:line="360" w:lineRule="auto"/>
        <w:tabs>
          <w:tab w:val="left" w:pos="5609" w:leader="none"/>
        </w:tabs>
        <w:rPr>
          <w:rFonts w:hint="eastAsia" w:ascii="宋体" w:hAnsi="宋体" w:cs="宋体"/>
          <w:bCs/>
          <w:sz w:val="30"/>
          <w:szCs w:val="30"/>
        </w:rPr>
      </w:pPr>
      <w:r>
        <w:rPr>
          <w:rFonts w:hint="eastAsia" w:ascii="宋体" w:hAnsi="宋体" w:cs="宋体"/>
          <w:bCs/>
          <w:sz w:val="30"/>
          <w:szCs w:val="30"/>
        </w:rPr>
      </w:r>
      <w:r/>
    </w:p>
    <w:p>
      <w:pPr>
        <w:jc w:val="left"/>
        <w:spacing w:line="360" w:lineRule="auto"/>
        <w:tabs>
          <w:tab w:val="left" w:pos="5609" w:leader="none"/>
        </w:tabs>
        <w:rPr>
          <w:rFonts w:hint="eastAsia" w:ascii="宋体" w:hAnsi="宋体" w:cs="宋体"/>
          <w:bCs/>
          <w:sz w:val="30"/>
          <w:szCs w:val="30"/>
        </w:rPr>
      </w:pPr>
      <w:r>
        <w:rPr>
          <w:rFonts w:hint="eastAsia" w:ascii="宋体" w:hAnsi="宋体" w:cs="宋体"/>
          <w:bCs/>
          <w:sz w:val="30"/>
          <w:szCs w:val="30"/>
        </w:rPr>
        <w:t xml:space="preserve">项目名称：奔牛镇环卫作业及绿化养护服务项目</w:t>
      </w:r>
      <w:r/>
    </w:p>
    <w:p>
      <w:pPr>
        <w:ind w:left="1500" w:hanging="1500"/>
        <w:jc w:val="left"/>
        <w:spacing w:line="360" w:lineRule="auto"/>
        <w:tabs>
          <w:tab w:val="left" w:pos="5609" w:leader="none"/>
        </w:tabs>
        <w:rPr>
          <w:rFonts w:hint="eastAsia" w:ascii="宋体" w:hAnsi="宋体" w:cs="宋体"/>
          <w:bCs/>
        </w:rPr>
      </w:pPr>
      <w:r>
        <w:rPr>
          <w:rFonts w:hint="eastAsia" w:ascii="宋体" w:hAnsi="宋体" w:cs="宋体"/>
          <w:bCs/>
          <w:sz w:val="30"/>
          <w:szCs w:val="30"/>
        </w:rPr>
        <w:t xml:space="preserve">项目编号：JSZC-320411-CZJC-G2025-0155</w:t>
      </w:r>
      <w:r/>
    </w:p>
    <w:p>
      <w:pPr>
        <w:ind w:left="285" w:hanging="285"/>
        <w:jc w:val="left"/>
        <w:spacing w:line="360" w:lineRule="auto"/>
        <w:tabs>
          <w:tab w:val="left" w:pos="5609" w:leader="none"/>
        </w:tabs>
        <w:rPr>
          <w:rFonts w:hint="eastAsia" w:ascii="宋体" w:hAnsi="宋体" w:cs="宋体"/>
          <w:bCs/>
          <w:sz w:val="30"/>
          <w:szCs w:val="30"/>
        </w:rPr>
      </w:pPr>
      <w:r>
        <w:rPr>
          <w:rFonts w:hint="eastAsia" w:ascii="宋体" w:hAnsi="宋体" w:cs="宋体"/>
          <w:bCs/>
          <w:sz w:val="30"/>
          <w:szCs w:val="30"/>
        </w:rPr>
        <w:t xml:space="preserve">采 购 人：常州市新北区奔牛镇人民政府</w:t>
      </w:r>
      <w:r/>
    </w:p>
    <w:p>
      <w:pPr>
        <w:ind w:left="285" w:hanging="285"/>
        <w:jc w:val="left"/>
        <w:spacing w:line="360" w:lineRule="auto"/>
        <w:tabs>
          <w:tab w:val="left" w:pos="3240" w:leader="none"/>
          <w:tab w:val="left" w:pos="3420" w:leader="none"/>
        </w:tabs>
        <w:rPr>
          <w:rFonts w:hint="eastAsia" w:ascii="宋体" w:hAnsi="宋体" w:cs="宋体"/>
          <w:bCs/>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30"/>
          <w:szCs w:val="30"/>
        </w:rPr>
        <w:t xml:space="preserve">采购代理机构：</w:t>
      </w:r>
      <w:r>
        <w:rPr>
          <w:rStyle w:val="1067"/>
          <w:rFonts w:hint="eastAsia" w:hAnsi="宋体" w:cs="宋体"/>
          <w:sz w:val="30"/>
          <w:szCs w:val="30"/>
        </w:rPr>
        <w:t xml:space="preserve">常州金诚招投标有限公司</w:t>
      </w:r>
      <w:r/>
    </w:p>
    <w:p>
      <w:pPr>
        <w:ind w:left="343" w:hanging="343"/>
        <w:jc w:val="center"/>
        <w:widowControl/>
        <w:rPr>
          <w:rFonts w:hint="eastAsia" w:ascii="宋体" w:hAnsi="宋体" w:cs="宋体"/>
          <w:b/>
          <w:bCs/>
          <w:sz w:val="36"/>
          <w:szCs w:val="36"/>
        </w:rPr>
      </w:pPr>
      <w:r>
        <w:rPr>
          <w:rFonts w:hint="eastAsia" w:ascii="宋体" w:hAnsi="宋体" w:cs="宋体"/>
          <w:b/>
          <w:bCs/>
          <w:sz w:val="36"/>
          <w:szCs w:val="36"/>
        </w:rPr>
        <w:t xml:space="preserve">目录</w:t>
      </w:r>
      <w:r/>
    </w:p>
    <w:p>
      <w:pPr>
        <w:pStyle w:val="1037"/>
        <w:tabs>
          <w:tab w:val="right" w:pos="8306" w:leader="dot"/>
        </w:tabs>
        <w:rPr>
          <w:rFonts w:hint="eastAsia"/>
        </w:rPr>
      </w:pPr>
      <w:r>
        <w:rPr>
          <w:rFonts w:hint="eastAsia"/>
          <w:bCs/>
          <w:sz w:val="36"/>
          <w:szCs w:val="36"/>
        </w:rPr>
        <w:fldChar w:fldCharType="begin"/>
      </w:r>
      <w:r>
        <w:rPr>
          <w:rFonts w:hint="eastAsia"/>
          <w:bCs/>
          <w:sz w:val="36"/>
          <w:szCs w:val="36"/>
        </w:rPr>
        <w:instrText xml:space="preserve"> TOC \o "1-1" \h \z \u </w:instrText>
      </w:r>
      <w:r>
        <w:rPr>
          <w:rFonts w:hint="eastAsia"/>
          <w:bCs/>
          <w:sz w:val="36"/>
          <w:szCs w:val="36"/>
        </w:rPr>
        <w:fldChar w:fldCharType="separate"/>
      </w:r>
      <w:hyperlink w:tooltip="#_Toc17551" w:anchor="_Toc17551" w:history="1">
        <w:r>
          <w:rPr>
            <w:rFonts w:hint="eastAsia"/>
          </w:rPr>
          <w:t xml:space="preserve">第一章 投标邀请</w:t>
        </w:r>
        <w:r>
          <w:tab/>
        </w:r>
        <w:r>
          <w:fldChar w:fldCharType="begin"/>
        </w:r>
        <w:r>
          <w:instrText xml:space="preserve"> PAGEREF _Toc17551 \h </w:instrText>
        </w:r>
        <w:r>
          <w:fldChar w:fldCharType="separate"/>
        </w:r>
        <w:r>
          <w:t xml:space="preserve">1</w:t>
        </w:r>
        <w:r>
          <w:fldChar w:fldCharType="end"/>
        </w:r>
      </w:hyperlink>
      <w:r/>
      <w:r/>
    </w:p>
    <w:p>
      <w:pPr>
        <w:pStyle w:val="1037"/>
        <w:tabs>
          <w:tab w:val="right" w:pos="8306" w:leader="dot"/>
        </w:tabs>
        <w:rPr>
          <w:rFonts w:hint="eastAsia"/>
        </w:rPr>
      </w:pPr>
      <w:r/>
      <w:hyperlink w:tooltip="#_Toc2508" w:anchor="_Toc2508" w:history="1">
        <w:r>
          <w:rPr>
            <w:rFonts w:hint="eastAsia"/>
          </w:rPr>
          <w:t xml:space="preserve">第二章 投标人须知</w:t>
        </w:r>
        <w:r>
          <w:tab/>
        </w:r>
        <w:r>
          <w:fldChar w:fldCharType="begin"/>
        </w:r>
        <w:r>
          <w:instrText xml:space="preserve"> PAGEREF _Toc2508 \h </w:instrText>
        </w:r>
        <w:r>
          <w:fldChar w:fldCharType="separate"/>
        </w:r>
        <w:r>
          <w:t xml:space="preserve">5</w:t>
        </w:r>
        <w:r>
          <w:fldChar w:fldCharType="end"/>
        </w:r>
      </w:hyperlink>
      <w:r/>
      <w:r/>
    </w:p>
    <w:p>
      <w:pPr>
        <w:pStyle w:val="1037"/>
        <w:tabs>
          <w:tab w:val="right" w:pos="8306" w:leader="dot"/>
        </w:tabs>
        <w:rPr>
          <w:rFonts w:hint="eastAsia"/>
        </w:rPr>
      </w:pPr>
      <w:r/>
      <w:hyperlink w:tooltip="#_Toc22629" w:anchor="_Toc22629" w:history="1">
        <w:r>
          <w:rPr>
            <w:rFonts w:hint="eastAsia"/>
          </w:rPr>
          <w:t xml:space="preserve">第三章 资格审查</w:t>
        </w:r>
        <w:r>
          <w:tab/>
        </w:r>
        <w:r>
          <w:fldChar w:fldCharType="begin"/>
        </w:r>
        <w:r>
          <w:instrText xml:space="preserve"> PAGEREF _Toc22629 \h </w:instrText>
        </w:r>
        <w:r>
          <w:fldChar w:fldCharType="separate"/>
        </w:r>
        <w:r>
          <w:t xml:space="preserve">21</w:t>
        </w:r>
        <w:r>
          <w:fldChar w:fldCharType="end"/>
        </w:r>
      </w:hyperlink>
      <w:r/>
      <w:r/>
    </w:p>
    <w:p>
      <w:pPr>
        <w:pStyle w:val="1037"/>
        <w:tabs>
          <w:tab w:val="right" w:pos="8306" w:leader="dot"/>
        </w:tabs>
        <w:rPr>
          <w:rFonts w:hint="eastAsia"/>
        </w:rPr>
      </w:pPr>
      <w:r/>
      <w:hyperlink w:tooltip="#_Toc18207" w:anchor="_Toc18207" w:history="1">
        <w:r>
          <w:rPr>
            <w:rFonts w:hint="eastAsia"/>
          </w:rPr>
          <w:t xml:space="preserve">第四章 评标程序、评标方法和评标标准</w:t>
        </w:r>
        <w:r>
          <w:tab/>
        </w:r>
        <w:r>
          <w:fldChar w:fldCharType="begin"/>
        </w:r>
        <w:r>
          <w:instrText xml:space="preserve"> PAGEREF _Toc18207 \h </w:instrText>
        </w:r>
        <w:r>
          <w:fldChar w:fldCharType="separate"/>
        </w:r>
        <w:r>
          <w:t xml:space="preserve">22</w:t>
        </w:r>
        <w:r>
          <w:fldChar w:fldCharType="end"/>
        </w:r>
      </w:hyperlink>
      <w:r/>
      <w:r/>
    </w:p>
    <w:p>
      <w:pPr>
        <w:pStyle w:val="1037"/>
        <w:tabs>
          <w:tab w:val="right" w:pos="8306" w:leader="dot"/>
        </w:tabs>
        <w:rPr>
          <w:rFonts w:hint="eastAsia"/>
        </w:rPr>
      </w:pPr>
      <w:r/>
      <w:hyperlink w:tooltip="#_Toc2835" w:anchor="_Toc2835" w:history="1">
        <w:r>
          <w:rPr>
            <w:rFonts w:hint="eastAsia"/>
          </w:rPr>
          <w:t xml:space="preserve">第五章 采购需求</w:t>
        </w:r>
        <w:r>
          <w:tab/>
        </w:r>
        <w:r>
          <w:fldChar w:fldCharType="begin"/>
        </w:r>
        <w:r>
          <w:instrText xml:space="preserve"> PAGEREF _Toc2835 \h </w:instrText>
        </w:r>
        <w:r>
          <w:fldChar w:fldCharType="separate"/>
        </w:r>
        <w:r>
          <w:t xml:space="preserve">31</w:t>
        </w:r>
        <w:r>
          <w:fldChar w:fldCharType="end"/>
        </w:r>
      </w:hyperlink>
      <w:r/>
      <w:r/>
    </w:p>
    <w:p>
      <w:pPr>
        <w:pStyle w:val="1037"/>
        <w:tabs>
          <w:tab w:val="right" w:pos="8306" w:leader="dot"/>
        </w:tabs>
        <w:rPr>
          <w:rFonts w:hint="eastAsia"/>
        </w:rPr>
      </w:pPr>
      <w:r/>
      <w:hyperlink w:tooltip="#_Toc28604" w:anchor="_Toc28604" w:history="1">
        <w:r>
          <w:rPr>
            <w:rFonts w:hint="eastAsia"/>
          </w:rPr>
          <w:t xml:space="preserve">第六章 拟签订的合同文本</w:t>
        </w:r>
        <w:r>
          <w:tab/>
        </w:r>
        <w:r>
          <w:fldChar w:fldCharType="begin"/>
        </w:r>
        <w:r>
          <w:instrText xml:space="preserve"> PAGEREF _Toc28604 \h </w:instrText>
        </w:r>
        <w:r>
          <w:fldChar w:fldCharType="separate"/>
        </w:r>
        <w:r>
          <w:t xml:space="preserve">38</w:t>
        </w:r>
        <w:r>
          <w:fldChar w:fldCharType="end"/>
        </w:r>
      </w:hyperlink>
      <w:r/>
      <w:r/>
    </w:p>
    <w:p>
      <w:pPr>
        <w:pStyle w:val="1037"/>
        <w:tabs>
          <w:tab w:val="right" w:pos="8306" w:leader="dot"/>
        </w:tabs>
        <w:rPr>
          <w:rFonts w:hint="eastAsia"/>
        </w:rPr>
      </w:pPr>
      <w:r/>
      <w:hyperlink w:tooltip="#_Toc19810" w:anchor="_Toc19810" w:history="1">
        <w:r>
          <w:rPr>
            <w:rFonts w:hint="eastAsia"/>
          </w:rPr>
          <w:t xml:space="preserve">第七章 投标文件格式</w:t>
        </w:r>
        <w:r>
          <w:tab/>
        </w:r>
        <w:r>
          <w:fldChar w:fldCharType="begin"/>
        </w:r>
        <w:r>
          <w:instrText xml:space="preserve"> PAGEREF _Toc19810 \h </w:instrText>
        </w:r>
        <w:r>
          <w:fldChar w:fldCharType="separate"/>
        </w:r>
        <w:r>
          <w:t xml:space="preserve">45</w:t>
        </w:r>
        <w:r>
          <w:fldChar w:fldCharType="end"/>
        </w:r>
      </w:hyperlink>
      <w:r/>
      <w:r/>
    </w:p>
    <w:p>
      <w:pPr>
        <w:ind w:left="199" w:hanging="199"/>
        <w:widowControl/>
        <w:rPr>
          <w:rFonts w:hint="eastAsia" w:ascii="宋体" w:hAnsi="宋体" w:cs="宋体"/>
          <w:bCs/>
          <w:sz w:val="36"/>
          <w:szCs w:val="36"/>
        </w:r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Cs w:val="36"/>
        </w:rPr>
        <w:fldChar w:fldCharType="end"/>
      </w:r>
      <w:r/>
    </w:p>
    <w:p>
      <w:pPr>
        <w:pStyle w:val="1020"/>
        <w:ind w:left="343" w:hanging="343"/>
        <w:rPr>
          <w:rFonts w:hint="eastAsia" w:ascii="宋体" w:hAnsi="宋体" w:cs="宋体"/>
          <w:sz w:val="60"/>
          <w:szCs w:val="60"/>
        </w:rPr>
      </w:pPr>
      <w:r/>
      <w:bookmarkStart w:id="0" w:name="_Toc25964"/>
      <w:r/>
      <w:bookmarkStart w:id="1" w:name="_Toc17551"/>
      <w:r/>
      <w:bookmarkStart w:id="2" w:name="_Toc4851"/>
      <w:r>
        <w:rPr>
          <w:rFonts w:hint="eastAsia" w:ascii="宋体" w:hAnsi="宋体" w:cs="宋体"/>
        </w:rPr>
        <w:t xml:space="preserve">第一章 投标邀请</w:t>
      </w:r>
      <w:bookmarkEnd w:id="0"/>
      <w:r/>
      <w:bookmarkEnd w:id="1"/>
      <w:r/>
      <w:bookmarkEnd w:id="2"/>
      <w:r/>
      <w:r/>
    </w:p>
    <w:tbl>
      <w:tblPr>
        <w:tblStyle w:val="1042"/>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1067"/>
                <w:rFonts w:hint="eastAsia" w:hAnsi="宋体" w:cs="宋体"/>
                <w:bCs/>
                <w:spacing w:val="2"/>
                <w:sz w:val="20"/>
                <w:szCs w:val="20"/>
              </w:rPr>
            </w:pPr>
            <w:r>
              <w:rPr>
                <w:rStyle w:val="1067"/>
                <w:rFonts w:hint="eastAsia" w:hAnsi="宋体" w:cs="宋体"/>
                <w:bCs/>
                <w:spacing w:val="2"/>
                <w:sz w:val="20"/>
                <w:szCs w:val="20"/>
              </w:rPr>
              <w:t xml:space="preserve">项目概况</w:t>
            </w:r>
            <w:r/>
          </w:p>
          <w:p>
            <w:pPr>
              <w:ind w:firstLine="480"/>
              <w:spacing w:line="360" w:lineRule="auto"/>
              <w:rPr>
                <w:rStyle w:val="1067"/>
                <w:rFonts w:hint="eastAsia" w:hAnsi="宋体" w:cs="宋体"/>
                <w:sz w:val="20"/>
                <w:szCs w:val="20"/>
              </w:rPr>
            </w:pPr>
            <w:r>
              <w:rPr>
                <w:rFonts w:hint="eastAsia" w:ascii="宋体" w:hAnsi="宋体" w:cs="宋体"/>
                <w:sz w:val="24"/>
                <w:szCs w:val="24"/>
              </w:rPr>
              <w:t xml:space="preserve">奔牛镇环卫作业及绿化养护服务项目的潜在投标人应在“苏采云”系统获取招标文件，并于2025年12月31日09点00分（北京时间）前提交投标文件。</w:t>
            </w:r>
            <w:r/>
          </w:p>
        </w:tc>
      </w:tr>
    </w:tbl>
    <w:p>
      <w:pPr>
        <w:ind w:left="229" w:hanging="229"/>
        <w:spacing w:line="360" w:lineRule="auto"/>
        <w:rPr>
          <w:rFonts w:hint="eastAsia" w:ascii="宋体" w:hAnsi="宋体" w:cs="宋体"/>
          <w:b/>
          <w:sz w:val="24"/>
          <w:szCs w:val="24"/>
        </w:rPr>
      </w:pPr>
      <w:r>
        <w:rPr>
          <w:rFonts w:hint="eastAsia" w:ascii="宋体" w:hAnsi="宋体" w:cs="宋体"/>
          <w:b/>
          <w:sz w:val="24"/>
          <w:szCs w:val="24"/>
        </w:rPr>
        <w:t xml:space="preserve">一、项目基本情况</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1.项目编号：JSZC-320411-CZJC-G2025-0155</w:t>
      </w:r>
      <w:r/>
    </w:p>
    <w:p>
      <w:pPr>
        <w:ind w:firstLine="480"/>
        <w:spacing w:line="360" w:lineRule="auto"/>
        <w:rPr>
          <w:rStyle w:val="1067"/>
          <w:rFonts w:hint="eastAsia" w:hAnsi="宋体" w:cs="宋体"/>
          <w:bCs/>
        </w:rPr>
      </w:pPr>
      <w:r>
        <w:rPr>
          <w:rFonts w:hint="eastAsia" w:ascii="宋体" w:hAnsi="宋体" w:cs="宋体"/>
          <w:sz w:val="24"/>
          <w:szCs w:val="24"/>
        </w:rPr>
        <w:t xml:space="preserve">2.项目名称：奔牛镇环卫作业及绿化养护服务项目</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3.采购方式：公开招标</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4.预算金额：2370万元</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5.最高限价：2370万元/三年（790万元/年）  </w:t>
      </w:r>
      <w:r/>
    </w:p>
    <w:p>
      <w:pPr>
        <w:ind w:firstLine="480"/>
        <w:spacing w:line="360" w:lineRule="auto"/>
        <w:rPr>
          <w:bCs/>
          <w:sz w:val="24"/>
        </w:rPr>
      </w:pPr>
      <w:r>
        <w:rPr>
          <w:rFonts w:hint="eastAsia"/>
          <w:bCs/>
          <w:sz w:val="24"/>
        </w:rPr>
        <w:t xml:space="preserve">6.</w:t>
      </w:r>
      <w:r>
        <w:rPr>
          <w:rFonts w:hint="eastAsia"/>
          <w:bCs/>
          <w:sz w:val="24"/>
        </w:rPr>
        <w:t xml:space="preserve">采购需求：</w:t>
      </w:r>
      <w:bookmarkStart w:id="3" w:name="OLE_LINK2"/>
      <w:r>
        <w:rPr>
          <w:rFonts w:hint="eastAsia"/>
          <w:bCs/>
          <w:sz w:val="24"/>
        </w:rPr>
        <w:t xml:space="preserve">本项目为奔牛镇环卫作业及绿化养护服务项目，</w:t>
      </w:r>
      <w:bookmarkEnd w:id="3"/>
      <w:r>
        <w:rPr>
          <w:rFonts w:hint="eastAsia"/>
          <w:bCs/>
          <w:sz w:val="24"/>
        </w:rPr>
        <w:t xml:space="preserve">其中道路人工清扫保洁约</w:t>
      </w:r>
      <w:r>
        <w:rPr>
          <w:rFonts w:hint="eastAsia"/>
          <w:bCs/>
          <w:sz w:val="24"/>
        </w:rPr>
        <w:t xml:space="preserve">1591000</w:t>
      </w:r>
      <w:r>
        <w:rPr>
          <w:rFonts w:hint="eastAsia"/>
          <w:bCs/>
          <w:sz w:val="24"/>
        </w:rPr>
        <w:t xml:space="preserve">平方米、绿化养护奔牛镇镇区管护项目总面积约</w:t>
      </w:r>
      <w:r>
        <w:rPr>
          <w:rFonts w:hint="eastAsia"/>
          <w:bCs/>
          <w:sz w:val="24"/>
        </w:rPr>
        <w:t xml:space="preserve">562596</w:t>
      </w:r>
      <w:r>
        <w:rPr>
          <w:rFonts w:hint="eastAsia"/>
          <w:bCs/>
          <w:sz w:val="24"/>
        </w:rPr>
        <w:t xml:space="preserve">平方米，涉及奔牛公园、运河公共绿地、运河文化带等</w:t>
      </w:r>
      <w:r>
        <w:rPr>
          <w:rFonts w:hint="eastAsia"/>
          <w:bCs/>
          <w:sz w:val="24"/>
        </w:rPr>
        <w:t xml:space="preserve">17</w:t>
      </w:r>
      <w:r>
        <w:rPr>
          <w:rFonts w:hint="eastAsia"/>
          <w:bCs/>
          <w:sz w:val="24"/>
        </w:rPr>
        <w:t xml:space="preserve">条管护片区；铁路及国省道管护总面积约</w:t>
      </w:r>
      <w:r>
        <w:rPr>
          <w:rFonts w:hint="eastAsia"/>
          <w:bCs/>
          <w:sz w:val="24"/>
        </w:rPr>
        <w:t xml:space="preserve">546694</w:t>
      </w:r>
      <w:r>
        <w:rPr>
          <w:rFonts w:hint="eastAsia"/>
          <w:bCs/>
          <w:sz w:val="24"/>
        </w:rPr>
        <w:t xml:space="preserve">平方米，涉及城际铁路南北两侧绿地，</w:t>
      </w:r>
      <w:r>
        <w:rPr>
          <w:rFonts w:hint="eastAsia"/>
          <w:bCs/>
          <w:sz w:val="24"/>
        </w:rPr>
        <w:t xml:space="preserve">G312</w:t>
      </w:r>
      <w:r>
        <w:rPr>
          <w:rFonts w:hint="eastAsia"/>
          <w:bCs/>
          <w:sz w:val="24"/>
        </w:rPr>
        <w:t xml:space="preserve">国道</w:t>
      </w:r>
      <w:r>
        <w:rPr>
          <w:rFonts w:hint="eastAsia"/>
          <w:bCs/>
          <w:sz w:val="24"/>
        </w:rPr>
        <w:t xml:space="preserve">S239</w:t>
      </w:r>
      <w:r>
        <w:rPr>
          <w:rFonts w:hint="eastAsia"/>
          <w:bCs/>
          <w:sz w:val="24"/>
        </w:rPr>
        <w:t xml:space="preserve">省道奔牛段绿地管护；公共厕所</w:t>
      </w:r>
      <w:r>
        <w:rPr>
          <w:rFonts w:hint="eastAsia"/>
          <w:bCs/>
          <w:sz w:val="24"/>
        </w:rPr>
        <w:t xml:space="preserve">22</w:t>
      </w:r>
      <w:r>
        <w:rPr>
          <w:rFonts w:hint="eastAsia"/>
          <w:bCs/>
          <w:sz w:val="24"/>
        </w:rPr>
        <w:t xml:space="preserve">座、压缩站</w:t>
      </w:r>
      <w:r>
        <w:rPr>
          <w:rFonts w:hint="eastAsia"/>
          <w:bCs/>
          <w:sz w:val="24"/>
        </w:rPr>
        <w:t xml:space="preserve">1</w:t>
      </w:r>
      <w:r>
        <w:rPr>
          <w:rFonts w:hint="eastAsia"/>
          <w:bCs/>
          <w:sz w:val="24"/>
        </w:rPr>
        <w:t xml:space="preserve">座。</w:t>
      </w:r>
      <w:r/>
    </w:p>
    <w:p>
      <w:pPr>
        <w:ind w:firstLine="480"/>
        <w:spacing w:line="360" w:lineRule="auto"/>
        <w:rPr>
          <w:sz w:val="24"/>
          <w:u w:val="single"/>
        </w:rPr>
      </w:pPr>
      <w:r>
        <w:rPr>
          <w:rFonts w:hint="eastAsia"/>
          <w:bCs/>
          <w:sz w:val="24"/>
        </w:rPr>
        <w:t xml:space="preserve">7.</w:t>
      </w:r>
      <w:r>
        <w:rPr>
          <w:rFonts w:hint="eastAsia"/>
          <w:bCs/>
          <w:sz w:val="24"/>
        </w:rPr>
        <w:t xml:space="preserve">合同履行期限：三年，合同一年一签。一年服务结束后经采购人考核合格后方可续签下一年度合同。</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8.本项目是否接受联合体：□是  ■否。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9.本项目是否接受进口产品响应：□是  ■否。</w:t>
      </w:r>
      <w:r/>
    </w:p>
    <w:p>
      <w:pPr>
        <w:ind w:left="229" w:hanging="229"/>
        <w:spacing w:line="360" w:lineRule="auto"/>
        <w:rPr>
          <w:rFonts w:hint="eastAsia" w:ascii="宋体" w:hAnsi="宋体" w:cs="宋体"/>
          <w:b/>
          <w:sz w:val="24"/>
          <w:szCs w:val="24"/>
        </w:rPr>
      </w:pPr>
      <w:r>
        <w:rPr>
          <w:rFonts w:hint="eastAsia" w:ascii="宋体" w:hAnsi="宋体" w:cs="宋体"/>
          <w:b/>
          <w:sz w:val="24"/>
          <w:szCs w:val="24"/>
        </w:rPr>
        <w:t xml:space="preserve">二、申请人的资格要求（须同时满足）</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1.满足《中华人民共和国政府采购法》第二十二条规定以及下列情形：</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2.落实政府采购政策需满足的资格要求：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2.1 中小企业政策</w:t>
      </w:r>
      <w:r/>
    </w:p>
    <w:p>
      <w:pPr>
        <w:ind w:firstLine="480"/>
        <w:spacing w:line="360" w:lineRule="auto"/>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本项目不专门面向中小企业预留采购份额。</w:t>
      </w:r>
      <w:r/>
    </w:p>
    <w:p>
      <w:pPr>
        <w:ind w:firstLine="480"/>
        <w:spacing w:line="360" w:lineRule="auto"/>
        <w:rPr>
          <w:rFonts w:hint="eastAsia" w:ascii="宋体" w:hAnsi="宋体" w:cs="宋体"/>
          <w:sz w:val="24"/>
          <w:szCs w:val="24"/>
        </w:rPr>
      </w:pPr>
      <w:r/>
      <w:bookmarkStart w:id="4" w:name="OLE_LINK3"/>
      <w:r>
        <w:rPr>
          <w:rFonts w:hint="eastAsia" w:ascii="宋体" w:hAnsi="宋体" w:cs="宋体"/>
          <w:sz w:val="24"/>
          <w:szCs w:val="24"/>
        </w:rPr>
        <w:t xml:space="preserve">■本项目专门面向  ■中小 </w:t>
      </w:r>
      <w:r>
        <w:rPr>
          <w:rFonts w:ascii="Wingdings 2" w:hAnsi="Wingdings 2" w:eastAsia="Wingdings 2" w:cs="Wingdings 2"/>
          <w:sz w:val="24"/>
          <w:szCs w:val="24"/>
        </w:rPr>
        <w:t xml:space="preserve">£</w:t>
      </w:r>
      <w:r>
        <w:rPr>
          <w:rFonts w:hint="eastAsia" w:ascii="宋体" w:hAnsi="宋体" w:cs="宋体"/>
          <w:sz w:val="24"/>
          <w:szCs w:val="24"/>
        </w:rPr>
        <w:t xml:space="preserve">小微企业 采购。</w:t>
      </w:r>
      <w:bookmarkEnd w:id="4"/>
      <w:r>
        <w:rPr>
          <w:rFonts w:hint="eastAsia" w:ascii="宋体" w:hAnsi="宋体" w:cs="宋体"/>
          <w:sz w:val="24"/>
          <w:szCs w:val="24"/>
        </w:rPr>
        <w:t xml:space="preserve">即：提供的货物全部由符合政策要求的中小/小微企业制造、服务全部由符合政策要求的中小/小微企业承接。</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2.2 其它落实政府采购政策的资格要求（如有）：</w:t>
      </w:r>
      <w:r>
        <w:rPr>
          <w:rFonts w:hint="eastAsia" w:ascii="宋体" w:hAnsi="宋体" w:cs="宋体"/>
          <w:sz w:val="24"/>
          <w:szCs w:val="24"/>
          <w:u w:val="single"/>
        </w:rPr>
        <w:t xml:space="preserve">  /  </w:t>
      </w:r>
      <w:r>
        <w:rPr>
          <w:rFonts w:hint="eastAsia" w:ascii="宋体" w:hAnsi="宋体" w:cs="宋体"/>
          <w:sz w:val="24"/>
          <w:szCs w:val="24"/>
        </w:rPr>
        <w:t xml:space="preserve">。</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3.本项目的特定资格要求：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3.1本项目是否接受分支机构参与投标：□是   ■否；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3.2 本项目是否属于政府购买服务：</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□否</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■是，公益一类事业单位、使用事业编制且由财政拨款保障的群团组织，不得作为承接主体</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3.3其他特定资格要求：无。</w:t>
      </w:r>
      <w:r/>
    </w:p>
    <w:p>
      <w:pPr>
        <w:ind w:left="229" w:hanging="229"/>
        <w:spacing w:line="360" w:lineRule="auto"/>
        <w:rPr>
          <w:rFonts w:hint="eastAsia" w:ascii="宋体" w:hAnsi="宋体" w:cs="宋体"/>
          <w:b/>
          <w:sz w:val="24"/>
          <w:szCs w:val="24"/>
        </w:rPr>
      </w:pPr>
      <w:r>
        <w:rPr>
          <w:rFonts w:hint="eastAsia" w:ascii="宋体" w:hAnsi="宋体" w:cs="宋体"/>
          <w:b/>
          <w:sz w:val="24"/>
          <w:szCs w:val="24"/>
        </w:rPr>
        <w:t xml:space="preserve">三、获取招标文件</w:t>
      </w:r>
      <w:r/>
    </w:p>
    <w:p>
      <w:pPr>
        <w:pStyle w:val="1030"/>
        <w:ind w:firstLine="480"/>
        <w:rPr>
          <w:rFonts w:hint="eastAsia" w:ascii="宋体" w:hAnsi="宋体" w:cs="宋体"/>
          <w:sz w:val="24"/>
        </w:rPr>
      </w:pPr>
      <w:r>
        <w:rPr>
          <w:rFonts w:hint="eastAsia" w:ascii="宋体" w:hAnsi="宋体" w:cs="宋体"/>
          <w:sz w:val="24"/>
        </w:rPr>
        <w:t xml:space="preserve">1.时间：自招标文件公告发布之日起5个工作日。</w:t>
      </w:r>
      <w:r/>
    </w:p>
    <w:p>
      <w:pPr>
        <w:ind w:firstLine="480"/>
        <w:spacing w:line="360" w:lineRule="auto"/>
        <w:rPr>
          <w:rFonts w:hint="eastAsia" w:ascii="宋体" w:hAnsi="宋体" w:cs="宋体"/>
          <w:sz w:val="24"/>
        </w:rPr>
      </w:pPr>
      <w:r>
        <w:rPr>
          <w:rFonts w:hint="eastAsia" w:ascii="宋体" w:hAnsi="宋体" w:cs="宋体"/>
          <w:sz w:val="24"/>
        </w:rPr>
        <w:t xml:space="preserve">2.地点：“苏采云”系统</w:t>
      </w:r>
      <w:r/>
    </w:p>
    <w:p>
      <w:pPr>
        <w:ind w:firstLine="480"/>
        <w:spacing w:line="360" w:lineRule="auto"/>
        <w:rPr>
          <w:rFonts w:hint="eastAsia" w:ascii="宋体" w:hAnsi="宋体" w:cs="宋体"/>
          <w:sz w:val="24"/>
        </w:rPr>
      </w:pPr>
      <w:r>
        <w:rPr>
          <w:rFonts w:hint="eastAsia" w:ascii="宋体" w:hAnsi="宋体" w:cs="宋体"/>
          <w:sz w:val="24"/>
        </w:rPr>
        <w:t xml:space="preserve">3.方式：供应商持CA数字认证证书登录“苏采云”系统获取电子版招标文件。</w:t>
      </w:r>
      <w:r/>
    </w:p>
    <w:p>
      <w:pPr>
        <w:ind w:firstLine="480"/>
        <w:spacing w:line="360" w:lineRule="auto"/>
        <w:rPr>
          <w:rFonts w:hint="eastAsia" w:ascii="宋体" w:hAnsi="宋体" w:cs="宋体"/>
          <w:sz w:val="24"/>
        </w:rPr>
      </w:pPr>
      <w:r>
        <w:rPr>
          <w:rFonts w:hint="eastAsia" w:ascii="宋体" w:hAnsi="宋体" w:cs="宋体"/>
          <w:sz w:val="24"/>
        </w:rPr>
        <w:t xml:space="preserve">4.售价：0元。</w:t>
      </w:r>
      <w:r/>
    </w:p>
    <w:p>
      <w:pPr>
        <w:ind w:left="229" w:hanging="229"/>
        <w:spacing w:line="360" w:lineRule="auto"/>
        <w:rPr>
          <w:rFonts w:hint="eastAsia" w:ascii="宋体" w:hAnsi="宋体" w:cs="宋体"/>
          <w:b/>
          <w:sz w:val="24"/>
          <w:szCs w:val="24"/>
        </w:rPr>
      </w:pPr>
      <w:r>
        <w:rPr>
          <w:rFonts w:hint="eastAsia" w:ascii="宋体" w:hAnsi="宋体" w:cs="宋体"/>
          <w:b/>
          <w:sz w:val="24"/>
          <w:szCs w:val="24"/>
        </w:rPr>
        <w:t xml:space="preserve">四、提交投标文件截止时间、开标时间和地点</w:t>
      </w:r>
      <w:r/>
    </w:p>
    <w:p>
      <w:pPr>
        <w:ind w:firstLine="480"/>
        <w:spacing w:line="360" w:lineRule="auto"/>
        <w:rPr>
          <w:rFonts w:hint="eastAsia" w:ascii="宋体" w:hAnsi="宋体" w:cs="宋体"/>
          <w:sz w:val="24"/>
          <w:szCs w:val="24"/>
        </w:rPr>
      </w:pPr>
      <w:r>
        <w:rPr>
          <w:rFonts w:hint="eastAsia" w:ascii="宋体" w:hAnsi="宋体" w:cs="宋体"/>
          <w:sz w:val="24"/>
        </w:rPr>
        <w:t xml:space="preserve">投标截止时间、开标时间：</w:t>
      </w:r>
      <w:r>
        <w:rPr>
          <w:rFonts w:hint="eastAsia" w:ascii="宋体" w:hAnsi="宋体" w:cs="宋体"/>
          <w:sz w:val="24"/>
          <w:szCs w:val="24"/>
        </w:rPr>
        <w:t xml:space="preserve">2025年12月31日09点00分（北京时间）。</w:t>
      </w:r>
      <w:r/>
    </w:p>
    <w:p>
      <w:pPr>
        <w:ind w:firstLine="480"/>
        <w:spacing w:line="360" w:lineRule="auto"/>
        <w:rPr>
          <w:rFonts w:hint="eastAsia" w:ascii="宋体" w:hAnsi="宋体" w:cs="宋体"/>
          <w:sz w:val="24"/>
        </w:rPr>
      </w:pPr>
      <w:r/>
      <w:bookmarkStart w:id="5" w:name="_Toc28359007"/>
      <w:r/>
      <w:bookmarkStart w:id="6" w:name="_Toc35393625"/>
      <w:r/>
      <w:bookmarkStart w:id="7" w:name="_Toc35393794"/>
      <w:r/>
      <w:bookmarkStart w:id="8" w:name="_Toc28359084"/>
      <w:r>
        <w:rPr>
          <w:rFonts w:hint="eastAsia" w:ascii="宋体" w:hAnsi="宋体" w:cs="宋体"/>
          <w:sz w:val="24"/>
        </w:rPr>
        <w:t xml:space="preserve">地点：“苏采云”系统“开标大厅”。</w:t>
      </w:r>
      <w:r/>
    </w:p>
    <w:p>
      <w:pPr>
        <w:ind w:left="229" w:hanging="229"/>
        <w:spacing w:line="360" w:lineRule="auto"/>
        <w:rPr>
          <w:rFonts w:hint="eastAsia" w:ascii="宋体" w:hAnsi="宋体" w:cs="宋体"/>
          <w:b/>
          <w:sz w:val="24"/>
          <w:szCs w:val="24"/>
        </w:rPr>
      </w:pPr>
      <w:r>
        <w:rPr>
          <w:rFonts w:hint="eastAsia" w:ascii="宋体" w:hAnsi="宋体" w:cs="宋体"/>
          <w:b/>
          <w:sz w:val="24"/>
          <w:szCs w:val="24"/>
        </w:rPr>
        <w:t xml:space="preserve">五、公告期限</w:t>
      </w:r>
      <w:bookmarkEnd w:id="5"/>
      <w:r/>
      <w:bookmarkEnd w:id="6"/>
      <w:r/>
      <w:bookmarkEnd w:id="7"/>
      <w:r/>
      <w:bookmarkEnd w:id="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自本公告发布之日起5个工作日。</w:t>
      </w:r>
      <w:r/>
    </w:p>
    <w:p>
      <w:pPr>
        <w:numPr>
          <w:ilvl w:val="0"/>
          <w:numId w:val="2"/>
        </w:numPr>
        <w:ind w:left="229" w:hanging="229"/>
        <w:spacing w:line="360" w:lineRule="auto"/>
        <w:rPr>
          <w:rFonts w:hint="eastAsia" w:ascii="宋体" w:hAnsi="宋体" w:cs="宋体"/>
          <w:b/>
          <w:sz w:val="24"/>
          <w:szCs w:val="24"/>
        </w:rPr>
      </w:pPr>
      <w:r/>
      <w:bookmarkStart w:id="9" w:name="_Toc35393626"/>
      <w:r/>
      <w:bookmarkStart w:id="10" w:name="_Toc35393795"/>
      <w:r>
        <w:rPr>
          <w:rFonts w:hint="eastAsia" w:ascii="宋体" w:hAnsi="宋体" w:cs="宋体"/>
          <w:b/>
          <w:sz w:val="24"/>
          <w:szCs w:val="24"/>
        </w:rPr>
        <w:t xml:space="preserve">其他补充事宜</w:t>
      </w:r>
      <w:bookmarkEnd w:id="9"/>
      <w:r/>
      <w:bookmarkEnd w:id="10"/>
      <w:r/>
      <w:r/>
    </w:p>
    <w:p>
      <w:pPr>
        <w:ind w:firstLine="480"/>
        <w:jc w:val="left"/>
        <w:spacing w:line="360" w:lineRule="auto"/>
        <w:rPr>
          <w:rFonts w:hint="eastAsia" w:ascii="宋体" w:hAnsi="宋体" w:cs="宋体"/>
          <w:b/>
          <w:sz w:val="24"/>
          <w:szCs w:val="24"/>
        </w:rPr>
      </w:pPr>
      <w:r>
        <w:rPr>
          <w:rFonts w:hint="eastAsia" w:ascii="宋体" w:hAnsi="宋体" w:cs="宋体"/>
          <w:sz w:val="24"/>
          <w:szCs w:val="24"/>
        </w:rPr>
        <w:t xml:space="preserve">1．本项目需要落实的政府采购政策：促进中小企业及监狱企业发展、促进残疾人就业、政府采购节能产品、环境标志产品、支持乡村产业振兴管理、正版软件、政府采购创新产品政策、绿色采购政策具体落实情况详见招标文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 根据省</w:t>
      </w:r>
      <w:r>
        <w:rPr>
          <w:rFonts w:hint="eastAsia" w:ascii="宋体" w:hAnsi="宋体" w:cs="宋体"/>
          <w:sz w:val="24"/>
          <w:szCs w:val="24"/>
        </w:rPr>
        <w:t xml:space="preserve">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 有关本次招标的事项若存在变动或修改，敬请及时关注“江苏政府采购网” 、“常州市政府采购网”发布的公告。</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4.关于常州市中小企业政府采购信用融资：</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229" w:hanging="229"/>
        <w:spacing w:line="360" w:lineRule="auto"/>
        <w:rPr>
          <w:rFonts w:hint="eastAsia" w:ascii="宋体" w:hAnsi="宋体" w:cs="宋体"/>
          <w:b/>
          <w:sz w:val="24"/>
          <w:szCs w:val="24"/>
        </w:rPr>
      </w:pPr>
      <w:r/>
      <w:bookmarkStart w:id="11" w:name="_Toc35393796"/>
      <w:r/>
      <w:bookmarkStart w:id="12" w:name="_Toc28359008"/>
      <w:r/>
      <w:bookmarkStart w:id="13" w:name="_Toc28359085"/>
      <w:r/>
      <w:bookmarkStart w:id="14" w:name="_Toc35393627"/>
      <w:r>
        <w:rPr>
          <w:rFonts w:hint="eastAsia" w:ascii="宋体" w:hAnsi="宋体" w:cs="宋体"/>
          <w:b/>
          <w:sz w:val="24"/>
          <w:szCs w:val="24"/>
        </w:rPr>
        <w:t xml:space="preserve">七、对本项目提出询问，请按以下方式联系。</w:t>
      </w:r>
      <w:bookmarkEnd w:id="11"/>
      <w:r/>
      <w:bookmarkEnd w:id="12"/>
      <w:r/>
      <w:bookmarkEnd w:id="13"/>
      <w:r/>
      <w:bookmarkEnd w:id="14"/>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1.采购人信息</w:t>
      </w:r>
      <w:r/>
    </w:p>
    <w:p>
      <w:pPr>
        <w:ind w:firstLine="480"/>
        <w:spacing w:line="360" w:lineRule="auto"/>
        <w:rPr>
          <w:rFonts w:hint="eastAsia" w:ascii="宋体" w:hAnsi="宋体" w:cs="宋体"/>
          <w:sz w:val="24"/>
          <w:szCs w:val="24"/>
        </w:rPr>
      </w:pPr>
      <w:r/>
      <w:bookmarkStart w:id="15" w:name="_Toc28359009"/>
      <w:r/>
      <w:bookmarkStart w:id="16" w:name="_Toc28359086"/>
      <w:r>
        <w:rPr>
          <w:rFonts w:hint="eastAsia" w:ascii="宋体" w:hAnsi="宋体" w:cs="宋体"/>
          <w:sz w:val="24"/>
          <w:szCs w:val="24"/>
        </w:rPr>
        <w:t xml:space="preserve">单位名称：常州市新北区奔牛镇人民政府</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Theme="minorEastAsia" w:hAnsiTheme="minorEastAsia"/>
          <w:sz w:val="24"/>
          <w:szCs w:val="24"/>
        </w:rPr>
        <w:t xml:space="preserve">常州市新北区奔牛镇迎宾路</w:t>
      </w:r>
      <w:r/>
    </w:p>
    <w:p>
      <w:pPr>
        <w:ind w:firstLine="480"/>
        <w:spacing w:line="360" w:lineRule="auto"/>
        <w:rPr>
          <w:rFonts w:hint="eastAsia" w:asciiTheme="minorEastAsia" w:hAnsiTheme="minorEastAsia"/>
          <w:sz w:val="24"/>
          <w:szCs w:val="24"/>
        </w:rPr>
      </w:pPr>
      <w:r>
        <w:rPr>
          <w:rFonts w:hint="eastAsia" w:ascii="宋体" w:hAnsi="宋体" w:cs="宋体"/>
          <w:sz w:val="24"/>
          <w:szCs w:val="24"/>
        </w:rPr>
        <w:t xml:space="preserve">联系人：</w:t>
      </w:r>
      <w:r>
        <w:rPr>
          <w:rFonts w:hint="eastAsia" w:asciiTheme="minorEastAsia" w:hAnsiTheme="minorEastAsia"/>
          <w:sz w:val="24"/>
          <w:szCs w:val="24"/>
        </w:rPr>
        <w:t xml:space="preserve">黄</w:t>
      </w:r>
      <w:r>
        <w:rPr>
          <w:rFonts w:hint="eastAsia" w:asciiTheme="minorEastAsia" w:hAnsiTheme="minorEastAsia"/>
          <w:sz w:val="24"/>
          <w:szCs w:val="24"/>
        </w:rPr>
        <w:t xml:space="preserve">先生</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联系电话：0519-83211660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2.采购代理机构信息</w:t>
      </w:r>
      <w:bookmarkEnd w:id="15"/>
      <w:r/>
      <w:bookmarkEnd w:id="16"/>
      <w:r/>
      <w:r/>
    </w:p>
    <w:p>
      <w:pPr>
        <w:ind w:firstLine="480"/>
        <w:spacing w:line="360" w:lineRule="auto"/>
        <w:rPr>
          <w:rFonts w:hint="eastAsia" w:ascii="宋体" w:hAnsi="宋体" w:cs="宋体"/>
          <w:sz w:val="24"/>
          <w:szCs w:val="24"/>
        </w:rPr>
      </w:pPr>
      <w:r/>
      <w:bookmarkStart w:id="17" w:name="_Toc28359087"/>
      <w:r/>
      <w:bookmarkStart w:id="18" w:name="_Toc28359010"/>
      <w:r>
        <w:rPr>
          <w:rFonts w:hint="eastAsia" w:ascii="宋体" w:hAnsi="宋体" w:cs="宋体"/>
          <w:sz w:val="24"/>
          <w:szCs w:val="24"/>
        </w:rPr>
        <w:t xml:space="preserve">单位名称：常州金诚招投标有限公司</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单位地址：常州市新北区汉江路368号金城大厦1910室</w:t>
      </w:r>
      <w:r/>
    </w:p>
    <w:p>
      <w:pPr>
        <w:ind w:firstLine="480"/>
        <w:spacing w:line="360" w:lineRule="auto"/>
      </w:pPr>
      <w:r>
        <w:rPr>
          <w:rFonts w:hint="eastAsia" w:ascii="宋体" w:hAnsi="宋体" w:cs="宋体"/>
          <w:sz w:val="24"/>
          <w:szCs w:val="24"/>
        </w:rPr>
        <w:t xml:space="preserve">联系人：窦文卓   联系电话：0519-85183350</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3.项目联系方式</w:t>
      </w:r>
      <w:bookmarkEnd w:id="17"/>
      <w:r/>
      <w:bookmarkEnd w:id="18"/>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项目联系人：窦文卓</w:t>
      </w:r>
      <w:r/>
    </w:p>
    <w:p>
      <w:pPr>
        <w:ind w:firstLine="480"/>
        <w:spacing w:line="360" w:lineRule="auto"/>
        <w:rPr>
          <w:rFonts w:hint="eastAsia" w:ascii="宋体" w:hAnsi="宋体" w:cs="宋体"/>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cs="宋体"/>
          <w:sz w:val="24"/>
          <w:szCs w:val="24"/>
        </w:rPr>
        <w:t xml:space="preserve">电      话：0519-85183350</w:t>
      </w:r>
      <w:r/>
    </w:p>
    <w:p>
      <w:pPr>
        <w:pStyle w:val="1020"/>
        <w:ind w:left="343" w:hanging="343"/>
        <w:rPr>
          <w:rFonts w:hint="eastAsia" w:ascii="宋体" w:hAnsi="宋体" w:cs="宋体"/>
        </w:rPr>
      </w:pPr>
      <w:r/>
      <w:bookmarkStart w:id="19" w:name="_Toc2508"/>
      <w:r/>
      <w:bookmarkStart w:id="20" w:name="_Toc12322"/>
      <w:r/>
      <w:bookmarkStart w:id="21" w:name="_Toc6354"/>
      <w:r>
        <w:rPr>
          <w:rFonts w:hint="eastAsia" w:ascii="宋体" w:hAnsi="宋体" w:cs="宋体"/>
        </w:rPr>
        <w:t xml:space="preserve">第二章 投标人须知</w:t>
      </w:r>
      <w:bookmarkEnd w:id="19"/>
      <w:r/>
      <w:bookmarkEnd w:id="20"/>
      <w:r/>
      <w:bookmarkEnd w:id="21"/>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投标人须知资料表</w:t>
      </w:r>
      <w:r/>
    </w:p>
    <w:p>
      <w:pPr>
        <w:ind w:left="228" w:hanging="228"/>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left="228" w:hanging="228"/>
        <w:spacing w:line="360" w:lineRule="auto"/>
        <w:rPr>
          <w:rFonts w:hint="eastAsia" w:ascii="宋体" w:hAnsi="宋体" w:cs="宋体"/>
          <w:sz w:val="24"/>
          <w:szCs w:val="24"/>
        </w:rPr>
      </w:pPr>
      <w:r>
        <w:rPr>
          <w:rFonts w:hint="eastAsia" w:ascii="宋体" w:hAnsi="宋体" w:cs="宋体"/>
          <w:sz w:val="24"/>
        </w:rPr>
        <w:t xml:space="preserve">标记“</w:t>
      </w:r>
      <w:r>
        <w:rPr>
          <w:rFonts w:hint="eastAsia" w:ascii="宋体" w:hAnsi="宋体" w:cs="宋体"/>
          <w:sz w:val="24"/>
          <w:szCs w:val="24"/>
        </w:rPr>
        <w:t xml:space="preserve">■</w:t>
      </w:r>
      <w:r>
        <w:rPr>
          <w:rFonts w:hint="eastAsia" w:ascii="宋体" w:hAnsi="宋体" w:cs="宋体"/>
          <w:sz w:val="24"/>
        </w:rPr>
        <w:t xml:space="preserve">”的选项意为适用于本项目，标记“</w:t>
      </w:r>
      <w:r>
        <w:rPr>
          <w:rFonts w:hint="eastAsia" w:ascii="宋体" w:hAnsi="宋体" w:cs="宋体"/>
          <w:sz w:val="24"/>
          <w:szCs w:val="24"/>
        </w:rPr>
        <w:t xml:space="preserve">□</w:t>
      </w:r>
      <w:r>
        <w:rPr>
          <w:rFonts w:hint="eastAsia" w:ascii="宋体" w:hAnsi="宋体" w:cs="宋体"/>
          <w:sz w:val="24"/>
        </w:rPr>
        <w:t xml:space="preserve">”的选项意为不适用于本项目</w:t>
      </w:r>
      <w:r>
        <w:rPr>
          <w:rFonts w:hint="eastAsia" w:ascii="宋体" w:hAnsi="宋体" w:cs="宋体"/>
          <w:sz w:val="24"/>
          <w:szCs w:val="24"/>
        </w:rPr>
        <w:t xml:space="preserve">。</w:t>
      </w: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516"/>
        <w:gridCol w:w="6668"/>
      </w:tblGrid>
      <w:tr>
        <w:trPr>
          <w:jc w:val="center"/>
          <w:trHeight w:val="594"/>
          <w:tblHeader/>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条款号</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条目</w:t>
            </w:r>
            <w:r/>
          </w:p>
        </w:tc>
        <w:tc>
          <w:tcPr>
            <w:tcW w:w="6668"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内容</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项目属性</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项目属性：</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■服务</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□货物</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2.3</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科研仪器设备</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是否属于科研仪器设备采购项目：</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□是</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■否</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2.4</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核心产品</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■关于核心产品本项目不适用。</w:t>
            </w:r>
            <w:r/>
          </w:p>
          <w:p>
            <w:pPr>
              <w:ind w:left="228" w:hanging="228"/>
              <w:jc w:val="left"/>
              <w:spacing w:line="276" w:lineRule="auto"/>
              <w:rPr>
                <w:rFonts w:hint="eastAsia" w:ascii="宋体" w:hAnsi="宋体" w:cs="宋体"/>
                <w:sz w:val="24"/>
                <w:szCs w:val="24"/>
              </w:rPr>
            </w:pPr>
            <w:r>
              <w:rPr>
                <w:rFonts w:ascii="Wingdings 2" w:hAnsi="Wingdings 2" w:eastAsia="Wingdings 2" w:cs="Wingdings 2"/>
                <w:sz w:val="24"/>
                <w:szCs w:val="24"/>
              </w:rPr>
              <w:t xml:space="preserve">£</w:t>
            </w:r>
            <w:r>
              <w:rPr>
                <w:rFonts w:hint="eastAsia" w:ascii="宋体" w:hAnsi="宋体" w:cs="宋体"/>
                <w:sz w:val="24"/>
                <w:szCs w:val="24"/>
              </w:rPr>
              <w:t xml:space="preserve">本项目为单一产品采购项目。</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□本项目为非单一产品采购项目，核心产品为： </w:t>
            </w:r>
            <w:r/>
          </w:p>
        </w:tc>
      </w:tr>
      <w:tr>
        <w:trPr>
          <w:jc w:val="center"/>
          <w:trHeight w:val="20"/>
        </w:trPr>
        <w:tc>
          <w:tcPr>
            <w:tcW w:w="1122" w:type="dxa"/>
            <w:vAlign w:val="center"/>
            <w:vMerge w:val="restart"/>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3.1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现场考察</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■不组织</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□组织，考察时间：__年_月_日_点_分</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考察地点：____________。</w:t>
            </w:r>
            <w:r/>
          </w:p>
        </w:tc>
      </w:tr>
      <w:tr>
        <w:trPr>
          <w:jc w:val="center"/>
          <w:trHeight w:val="20"/>
        </w:trPr>
        <w:tc>
          <w:tcPr>
            <w:tcW w:w="1122" w:type="dxa"/>
            <w:vAlign w:val="center"/>
            <w:vMerge w:val="continue"/>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开标前答疑会</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■不召开</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□召开，召开时间：__年_月_日_点_分</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召开地点：____________。</w:t>
            </w:r>
            <w:r/>
          </w:p>
        </w:tc>
      </w:tr>
      <w:tr>
        <w:trPr>
          <w:jc w:val="center"/>
          <w:trHeight w:val="20"/>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4.1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样品</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投标样品递交：</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■不需要</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□需要，具体要求如下：</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（1）样品制作的标准和要求：详见采购需求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（2）是否需要随样品提交相关检测报告：详见采购需求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（3）样品递交要求：详见采购需求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（4）未中标人样品退还：详见采购需求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（5）中标人样品保管、封存及退还：详见采购需求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（6）其他要求（如有）：详见采购需求</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5.2.5</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标的所属行业</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本项目采购标的对应的中小企业划分标准所属行业：其他未列明行业 </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11.2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投标报价</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投标报价的特殊规定：</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■无</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□有，具体情形：/。</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12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投标保证金</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免收</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13.1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投标有效期</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自提交投标文件的截止之日起算60日历天。</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25.5</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分包</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本项目的非主体、非关键性工作是否允许分包：</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■不允许</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□允许，具体要求：</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（1）可以分包履行的具体内容：_____；</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（2）允许分包的金额或者比例：_____；</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（3）其他要求：_____。</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26.1</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询问</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询问送达形式：纸质书面送达。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26.2</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质疑</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质疑送达形式：纸质书面送达。</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26.3</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联系方式</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接收询问和质疑的联系方式</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联系部门：常州金诚招投标有限公司；</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联系电话：0519-85183350；</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通讯地址：常州市新北区汉江路368号金城大厦1910室常州金诚招投标有限公司（综合办公室）。</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27</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代理费</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收费对象：</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□采购人</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■中标人</w:t>
            </w:r>
            <w:r/>
          </w:p>
          <w:p>
            <w:pPr>
              <w:rPr>
                <w:rFonts w:hint="eastAsia" w:ascii="宋体" w:hAnsi="宋体" w:cs="宋体"/>
                <w:sz w:val="24"/>
              </w:rPr>
            </w:pPr>
            <w:r>
              <w:rPr>
                <w:rFonts w:hint="eastAsia" w:ascii="宋体" w:hAnsi="宋体" w:cs="宋体"/>
                <w:sz w:val="24"/>
                <w:lang w:val="zh-TW"/>
              </w:rPr>
              <w:t xml:space="preserve">收费标准：</w:t>
            </w:r>
            <w:r>
              <w:rPr>
                <w:rFonts w:hint="eastAsia"/>
                <w:sz w:val="24"/>
                <w:lang w:val="zh-TW"/>
              </w:rPr>
              <w:t xml:space="preserve">收费比例按差额定率累进法计算：</w:t>
            </w:r>
            <w:r>
              <w:rPr>
                <w:rFonts w:hint="eastAsia"/>
                <w:sz w:val="24"/>
              </w:rPr>
              <w:t xml:space="preserve">以预算</w:t>
            </w:r>
            <w:r>
              <w:rPr>
                <w:rFonts w:hint="eastAsia"/>
                <w:sz w:val="24"/>
                <w:lang w:val="zh-TW"/>
              </w:rPr>
              <w:t xml:space="preserve">金额为基数，按</w:t>
            </w:r>
            <w:r>
              <w:rPr>
                <w:rFonts w:hint="eastAsia"/>
                <w:sz w:val="24"/>
                <w:lang w:val="zh-TW"/>
              </w:rPr>
              <w:t xml:space="preserve">100</w:t>
            </w:r>
            <w:r>
              <w:rPr>
                <w:rFonts w:hint="eastAsia"/>
                <w:sz w:val="24"/>
                <w:lang w:val="zh-TW"/>
              </w:rPr>
              <w:t xml:space="preserve">万以下</w:t>
            </w:r>
            <w:r>
              <w:rPr>
                <w:rFonts w:hint="eastAsia"/>
                <w:sz w:val="24"/>
                <w:lang w:val="zh-TW"/>
              </w:rPr>
              <w:t xml:space="preserve">*1.5%</w:t>
            </w:r>
            <w:r>
              <w:rPr>
                <w:rFonts w:hint="eastAsia"/>
                <w:sz w:val="24"/>
                <w:lang w:val="zh-TW"/>
              </w:rPr>
              <w:t xml:space="preserve">计算、</w:t>
            </w:r>
            <w:r>
              <w:rPr>
                <w:rFonts w:hint="eastAsia"/>
                <w:sz w:val="24"/>
                <w:lang w:val="zh-TW"/>
              </w:rPr>
              <w:t xml:space="preserve">100</w:t>
            </w:r>
            <w:r>
              <w:rPr>
                <w:rFonts w:hint="eastAsia"/>
                <w:sz w:val="24"/>
                <w:lang w:val="zh-TW"/>
              </w:rPr>
              <w:t xml:space="preserve">万元—</w:t>
            </w:r>
            <w:r>
              <w:rPr>
                <w:rFonts w:hint="eastAsia"/>
                <w:sz w:val="24"/>
                <w:lang w:val="zh-TW"/>
              </w:rPr>
              <w:t xml:space="preserve">500</w:t>
            </w:r>
            <w:r>
              <w:rPr>
                <w:rFonts w:hint="eastAsia"/>
                <w:sz w:val="24"/>
                <w:lang w:val="zh-TW"/>
              </w:rPr>
              <w:t xml:space="preserve">万元</w:t>
            </w:r>
            <w:r>
              <w:rPr>
                <w:rFonts w:hint="eastAsia"/>
                <w:sz w:val="24"/>
              </w:rPr>
              <w:t xml:space="preserve">*</w:t>
            </w:r>
            <w:r>
              <w:rPr>
                <w:rFonts w:hint="eastAsia"/>
                <w:sz w:val="24"/>
                <w:lang w:val="zh-TW"/>
              </w:rPr>
              <w:t xml:space="preserve">0.8%</w:t>
            </w:r>
            <w:r>
              <w:rPr>
                <w:rFonts w:hint="eastAsia"/>
                <w:sz w:val="24"/>
                <w:lang w:val="zh-TW"/>
              </w:rPr>
              <w:t xml:space="preserve">，</w:t>
            </w:r>
            <w:r>
              <w:rPr>
                <w:rFonts w:hint="eastAsia"/>
                <w:sz w:val="24"/>
              </w:rPr>
              <w:t xml:space="preserve">500</w:t>
            </w:r>
            <w:r>
              <w:rPr>
                <w:rFonts w:hint="eastAsia"/>
                <w:sz w:val="24"/>
              </w:rPr>
              <w:t xml:space="preserve">万元——</w:t>
            </w:r>
            <w:r>
              <w:rPr>
                <w:rFonts w:hint="eastAsia"/>
                <w:sz w:val="24"/>
              </w:rPr>
              <w:t xml:space="preserve">1000</w:t>
            </w:r>
            <w:r>
              <w:rPr>
                <w:rFonts w:hint="eastAsia"/>
                <w:sz w:val="24"/>
              </w:rPr>
              <w:t xml:space="preserve">万元</w:t>
            </w:r>
            <w:r>
              <w:rPr>
                <w:rFonts w:hint="eastAsia"/>
                <w:sz w:val="24"/>
              </w:rPr>
              <w:t xml:space="preserve">*0.45%</w:t>
            </w:r>
            <w:r>
              <w:rPr>
                <w:rFonts w:hint="eastAsia"/>
                <w:sz w:val="24"/>
              </w:rPr>
              <w:t xml:space="preserve">，</w:t>
            </w:r>
            <w:r>
              <w:rPr>
                <w:rFonts w:hint="eastAsia"/>
                <w:sz w:val="24"/>
              </w:rPr>
              <w:t xml:space="preserve">1000</w:t>
            </w:r>
            <w:r>
              <w:rPr>
                <w:rFonts w:hint="eastAsia"/>
                <w:sz w:val="24"/>
              </w:rPr>
              <w:t xml:space="preserve">万元——</w:t>
            </w:r>
            <w:r>
              <w:rPr>
                <w:rFonts w:hint="eastAsia"/>
                <w:sz w:val="24"/>
              </w:rPr>
              <w:t xml:space="preserve">5000</w:t>
            </w:r>
            <w:r>
              <w:rPr>
                <w:rFonts w:hint="eastAsia"/>
                <w:sz w:val="24"/>
              </w:rPr>
              <w:t xml:space="preserve">万元</w:t>
            </w:r>
            <w:r>
              <w:rPr>
                <w:rFonts w:hint="eastAsia"/>
                <w:sz w:val="24"/>
              </w:rPr>
              <w:t xml:space="preserve">*0.25%</w:t>
            </w:r>
            <w:r>
              <w:rPr>
                <w:rFonts w:hint="eastAsia"/>
                <w:sz w:val="24"/>
              </w:rPr>
              <w:t xml:space="preserve">，</w:t>
            </w:r>
            <w:r>
              <w:rPr>
                <w:rFonts w:hint="eastAsia" w:ascii="宋体" w:hAnsi="宋体" w:cs="宋体"/>
                <w:sz w:val="24"/>
              </w:rPr>
              <w:t xml:space="preserve">代理服务费不足3000元的，按3000元收取</w:t>
            </w:r>
            <w:r>
              <w:rPr>
                <w:rFonts w:hint="eastAsia"/>
                <w:sz w:val="24"/>
                <w:lang w:val="zh-TW"/>
              </w:rPr>
              <w:t xml:space="preserve">，代理服务费按上述标准计算并一次性缴纳。</w:t>
            </w:r>
            <w:r/>
          </w:p>
          <w:p>
            <w:pPr>
              <w:ind w:left="228" w:hanging="228"/>
              <w:spacing w:line="276" w:lineRule="auto"/>
              <w:rPr>
                <w:rFonts w:hint="eastAsia" w:ascii="宋体" w:hAnsi="宋体" w:cs="宋体"/>
                <w:sz w:val="24"/>
                <w:szCs w:val="24"/>
              </w:rPr>
            </w:pPr>
            <w:r>
              <w:rPr>
                <w:rFonts w:hint="eastAsia" w:ascii="宋体" w:hAnsi="宋体" w:cs="宋体"/>
                <w:sz w:val="24"/>
                <w:szCs w:val="24"/>
              </w:rPr>
              <w:t xml:space="preserve">缴纳时间：中标后，领取中标通知书前。</w:t>
            </w:r>
            <w:r/>
          </w:p>
        </w:tc>
      </w:tr>
      <w:tr>
        <w:trPr>
          <w:jc w:val="center"/>
          <w:trHeight w:val="565"/>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28</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履约保证金</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■免收</w:t>
            </w:r>
            <w:r/>
          </w:p>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□/元，由采购人自行收取</w:t>
            </w:r>
            <w:r/>
          </w:p>
        </w:tc>
      </w:tr>
      <w:tr>
        <w:trPr>
          <w:jc w:val="center"/>
          <w:trHeight w:val="1052"/>
        </w:trPr>
        <w:tc>
          <w:tcPr>
            <w:tcW w:w="1122"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29</w:t>
            </w:r>
            <w:r/>
          </w:p>
        </w:tc>
        <w:tc>
          <w:tcPr>
            <w:tcW w:w="1516" w:type="dxa"/>
            <w:vAlign w:val="center"/>
            <w:textDirection w:val="lrTb"/>
            <w:noWrap w:val="false"/>
          </w:tcPr>
          <w:p>
            <w:pPr>
              <w:ind w:left="228" w:hanging="228"/>
              <w:jc w:val="center"/>
              <w:spacing w:line="276" w:lineRule="auto"/>
              <w:rPr>
                <w:rFonts w:hint="eastAsia" w:ascii="宋体" w:hAnsi="宋体" w:cs="宋体"/>
                <w:sz w:val="24"/>
                <w:szCs w:val="24"/>
              </w:rPr>
            </w:pPr>
            <w:r>
              <w:rPr>
                <w:rFonts w:hint="eastAsia" w:ascii="宋体" w:hAnsi="宋体" w:cs="宋体"/>
                <w:sz w:val="24"/>
                <w:szCs w:val="24"/>
              </w:rPr>
              <w:t xml:space="preserve">纸质投标文件</w:t>
            </w:r>
            <w:r/>
          </w:p>
        </w:tc>
        <w:tc>
          <w:tcPr>
            <w:tcW w:w="6668" w:type="dxa"/>
            <w:vAlign w:val="center"/>
            <w:textDirection w:val="lrTb"/>
            <w:noWrap w:val="false"/>
          </w:tcPr>
          <w:p>
            <w:pPr>
              <w:ind w:left="228" w:hanging="228"/>
              <w:jc w:val="left"/>
              <w:spacing w:line="276" w:lineRule="auto"/>
              <w:rPr>
                <w:rFonts w:hint="eastAsia" w:ascii="宋体" w:hAnsi="宋体" w:cs="宋体"/>
                <w:sz w:val="24"/>
                <w:szCs w:val="24"/>
              </w:rPr>
            </w:pPr>
            <w:r>
              <w:rPr>
                <w:rFonts w:hint="eastAsia" w:ascii="宋体" w:hAnsi="宋体" w:cs="宋体"/>
                <w:sz w:val="24"/>
                <w:szCs w:val="24"/>
              </w:rPr>
              <w:t xml:space="preserve">中标人在签订合同前向代理机构提供正本1套纸质投标文件，</w:t>
            </w:r>
            <w:r>
              <w:rPr>
                <w:rFonts w:ascii="宋体" w:hAnsi="宋体" w:cs="宋体"/>
                <w:sz w:val="24"/>
                <w:szCs w:val="24"/>
              </w:rPr>
              <w:t xml:space="preserve">纸质文件</w:t>
            </w:r>
            <w:r>
              <w:rPr>
                <w:rFonts w:hint="eastAsia" w:ascii="宋体" w:hAnsi="宋体" w:cs="宋体"/>
                <w:sz w:val="24"/>
                <w:szCs w:val="24"/>
              </w:rPr>
              <w:t xml:space="preserve">须</w:t>
            </w:r>
            <w:r>
              <w:rPr>
                <w:rFonts w:ascii="宋体" w:hAnsi="宋体" w:cs="宋体"/>
                <w:sz w:val="24"/>
                <w:szCs w:val="24"/>
              </w:rPr>
              <w:t xml:space="preserve">与电子</w:t>
            </w:r>
            <w:r>
              <w:rPr>
                <w:rFonts w:hint="eastAsia" w:ascii="宋体" w:hAnsi="宋体" w:cs="宋体"/>
                <w:sz w:val="24"/>
                <w:szCs w:val="24"/>
              </w:rPr>
              <w:t xml:space="preserve">投标文件内容一致。</w:t>
            </w:r>
            <w:r/>
          </w:p>
        </w:tc>
      </w:tr>
    </w:tbl>
    <w:p>
      <w:pPr>
        <w:ind w:left="267" w:hanging="267"/>
        <w:jc w:val="center"/>
        <w:spacing w:line="360" w:lineRule="auto"/>
        <w:rPr>
          <w:rFonts w:hint="eastAsia" w:ascii="宋体" w:hAnsi="宋体" w:cs="宋体"/>
          <w:b/>
          <w:sz w:val="28"/>
          <w:szCs w:val="28"/>
        </w:rPr>
      </w:pPr>
      <w:r>
        <w:rPr>
          <w:rFonts w:hint="eastAsia" w:ascii="宋体" w:hAnsi="宋体" w:cs="宋体"/>
          <w:sz w:val="24"/>
          <w:szCs w:val="24"/>
        </w:rPr>
        <w:br w:type="page" w:clear="all"/>
      </w:r>
      <w:r>
        <w:rPr>
          <w:rFonts w:hint="eastAsia" w:ascii="宋体" w:hAnsi="宋体" w:cs="宋体"/>
          <w:b/>
          <w:sz w:val="28"/>
          <w:szCs w:val="28"/>
        </w:rPr>
        <w:t xml:space="preserve">投标人须知</w:t>
      </w:r>
      <w:r/>
    </w:p>
    <w:p>
      <w:pPr>
        <w:ind w:left="267" w:hanging="267"/>
        <w:jc w:val="center"/>
        <w:spacing w:line="360" w:lineRule="auto"/>
        <w:rPr>
          <w:rFonts w:hint="eastAsia" w:ascii="宋体" w:hAnsi="宋体" w:cs="宋体"/>
          <w:b/>
          <w:sz w:val="28"/>
          <w:szCs w:val="28"/>
        </w:rPr>
      </w:pPr>
      <w:r/>
      <w:bookmarkStart w:id="22" w:name="_Toc226309762"/>
      <w:r/>
      <w:bookmarkStart w:id="23" w:name="_Toc195842883"/>
      <w:r/>
      <w:bookmarkStart w:id="24" w:name="_Toc150480756"/>
      <w:r/>
      <w:bookmarkStart w:id="25" w:name="_Toc305158860"/>
      <w:r/>
      <w:bookmarkStart w:id="26" w:name="_Toc151193688"/>
      <w:r/>
      <w:bookmarkStart w:id="27" w:name="_Toc226965708"/>
      <w:r/>
      <w:bookmarkStart w:id="28" w:name="_Toc305158786"/>
      <w:r/>
      <w:bookmarkStart w:id="29" w:name="_Toc151193906"/>
      <w:r/>
      <w:bookmarkStart w:id="30" w:name="_Toc151193616"/>
      <w:r/>
      <w:bookmarkStart w:id="31" w:name="_Toc265228356"/>
      <w:r/>
      <w:bookmarkStart w:id="32" w:name="_Toc151193832"/>
      <w:r/>
      <w:bookmarkStart w:id="33" w:name="_Toc150774618"/>
      <w:r/>
      <w:bookmarkStart w:id="34" w:name="_Toc142311020"/>
      <w:r/>
      <w:bookmarkStart w:id="35" w:name="_Toc226965791"/>
      <w:r/>
      <w:bookmarkStart w:id="36" w:name="_Toc150774723"/>
      <w:r/>
      <w:bookmarkStart w:id="37" w:name="_Toc226337214"/>
      <w:r/>
      <w:bookmarkStart w:id="38" w:name="_Toc264969208"/>
      <w:r/>
      <w:bookmarkStart w:id="39" w:name="_Toc151193760"/>
      <w:r/>
      <w:bookmarkStart w:id="40" w:name="_Toc151190145"/>
      <w:r/>
      <w:bookmarkStart w:id="41" w:name="_Toc150509269"/>
      <w:r>
        <w:rPr>
          <w:rFonts w:hint="eastAsia" w:ascii="宋体" w:hAnsi="宋体" w:cs="宋体"/>
          <w:b/>
          <w:sz w:val="28"/>
          <w:szCs w:val="28"/>
        </w:rPr>
        <w:t xml:space="preserve">一、说  明</w:t>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
    </w:p>
    <w:p>
      <w:pPr>
        <w:pStyle w:val="1068"/>
        <w:numPr>
          <w:ilvl w:val="0"/>
          <w:numId w:val="3"/>
        </w:numPr>
        <w:jc w:val="left"/>
        <w:spacing w:line="360" w:lineRule="auto"/>
        <w:rPr>
          <w:rFonts w:hint="eastAsia" w:ascii="宋体" w:hAnsi="宋体" w:cs="宋体"/>
          <w:sz w:val="24"/>
          <w:szCs w:val="24"/>
        </w:rPr>
      </w:pPr>
      <w:r/>
      <w:bookmarkStart w:id="42" w:name="_Toc305158787"/>
      <w:r/>
      <w:bookmarkStart w:id="43" w:name="_Toc264969209"/>
      <w:r/>
      <w:bookmarkStart w:id="44" w:name="_Toc265228357"/>
      <w:r/>
      <w:bookmarkStart w:id="45" w:name="_Toc305158861"/>
      <w:r/>
      <w:bookmarkStart w:id="46" w:name="_Toc151193910"/>
      <w:r/>
      <w:bookmarkStart w:id="47" w:name="_Toc305158790"/>
      <w:r/>
      <w:bookmarkStart w:id="48" w:name="_Toc127151522"/>
      <w:r/>
      <w:bookmarkStart w:id="49" w:name="_Toc150774727"/>
      <w:r/>
      <w:bookmarkStart w:id="50" w:name="_Toc226965712"/>
      <w:r/>
      <w:bookmarkStart w:id="51" w:name="_Toc150774622"/>
      <w:r/>
      <w:bookmarkStart w:id="52" w:name="_Toc142311024"/>
      <w:r/>
      <w:bookmarkStart w:id="53" w:name="_Toc151193620"/>
      <w:r/>
      <w:bookmarkStart w:id="54" w:name="_Toc150509273"/>
      <w:r/>
      <w:bookmarkStart w:id="55" w:name="_Toc151193836"/>
      <w:r/>
      <w:bookmarkStart w:id="56" w:name="_Toc151193692"/>
      <w:r/>
      <w:bookmarkStart w:id="57" w:name="_Toc305158864"/>
      <w:r/>
      <w:bookmarkStart w:id="58" w:name="_Toc226309766"/>
      <w:r/>
      <w:bookmarkStart w:id="59" w:name="_Toc151190149"/>
      <w:r/>
      <w:bookmarkStart w:id="60" w:name="_Toc520356146"/>
      <w:r/>
      <w:bookmarkStart w:id="61" w:name="_Toc265228360"/>
      <w:r/>
      <w:bookmarkStart w:id="62" w:name="_Toc264969212"/>
      <w:r/>
      <w:bookmarkStart w:id="63" w:name="_Toc150480760"/>
      <w:r/>
      <w:bookmarkStart w:id="64" w:name="_Toc151193764"/>
      <w:r/>
      <w:bookmarkStart w:id="65" w:name="_Toc226965795"/>
      <w:r/>
      <w:bookmarkStart w:id="66" w:name="_Toc195842887"/>
      <w:r/>
      <w:bookmarkStart w:id="67" w:name="_Toc226337218"/>
      <w:r>
        <w:rPr>
          <w:rFonts w:hint="eastAsia" w:ascii="宋体" w:hAnsi="宋体" w:cs="宋体"/>
          <w:sz w:val="24"/>
        </w:rPr>
        <w:t xml:space="preserve">采购人、采购代理机构、投标人</w:t>
      </w:r>
      <w:bookmarkEnd w:id="42"/>
      <w:r/>
      <w:bookmarkEnd w:id="43"/>
      <w:r/>
      <w:bookmarkEnd w:id="44"/>
      <w:r/>
      <w:bookmarkEnd w:id="45"/>
      <w:r>
        <w:rPr>
          <w:rFonts w:hint="eastAsia" w:ascii="宋体" w:hAnsi="宋体" w:cs="宋体"/>
          <w:sz w:val="24"/>
        </w:rPr>
        <w:t xml:space="preserve">、联合体</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 w:val="24"/>
          <w:szCs w:val="24"/>
        </w:rPr>
        <w:t xml:space="preserve">。</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投标人（也称“供应商”、“申请人”）：指向采购人提供货物、工程或者服务的法人、其他组织或者自然人</w:t>
      </w:r>
      <w:r>
        <w:rPr>
          <w:rFonts w:hint="eastAsia" w:ascii="宋体" w:hAnsi="宋体" w:cs="宋体"/>
          <w:sz w:val="24"/>
          <w:szCs w:val="24"/>
        </w:rPr>
        <w:t xml:space="preserve">。</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联合体：指两个以上的自然人、法人或者其他组织组成一个联合体，以一个供应商的身份共同参加政府采购</w:t>
      </w:r>
      <w:r>
        <w:rPr>
          <w:rFonts w:hint="eastAsia" w:ascii="宋体" w:hAnsi="宋体" w:cs="宋体"/>
          <w:sz w:val="24"/>
          <w:szCs w:val="24"/>
        </w:rPr>
        <w:t xml:space="preserve">。</w:t>
      </w:r>
      <w:r/>
    </w:p>
    <w:p>
      <w:pPr>
        <w:pStyle w:val="1068"/>
        <w:numPr>
          <w:ilvl w:val="0"/>
          <w:numId w:val="4"/>
        </w:numPr>
        <w:jc w:val="left"/>
        <w:spacing w:line="360" w:lineRule="auto"/>
        <w:rPr>
          <w:rFonts w:hint="eastAsia" w:ascii="宋体" w:hAnsi="宋体" w:cs="宋体"/>
          <w:sz w:val="24"/>
          <w:szCs w:val="24"/>
        </w:rPr>
      </w:pPr>
      <w:r/>
      <w:bookmarkStart w:id="68" w:name="_Toc127151721"/>
      <w:r/>
      <w:bookmarkStart w:id="69" w:name="_Toc150774620"/>
      <w:r/>
      <w:bookmarkStart w:id="70" w:name="_Toc226965710"/>
      <w:r/>
      <w:bookmarkStart w:id="71" w:name="_Toc264969210"/>
      <w:r/>
      <w:bookmarkStart w:id="72" w:name="_Toc164229361"/>
      <w:r/>
      <w:bookmarkStart w:id="73" w:name="_Toc195842885"/>
      <w:r/>
      <w:bookmarkStart w:id="74" w:name="_Toc151193834"/>
      <w:r/>
      <w:bookmarkStart w:id="75" w:name="_Toc142311022"/>
      <w:r/>
      <w:bookmarkStart w:id="76" w:name="_Toc305158862"/>
      <w:r/>
      <w:bookmarkStart w:id="77" w:name="_Toc150774725"/>
      <w:r/>
      <w:bookmarkStart w:id="78" w:name="_Toc127151520"/>
      <w:r/>
      <w:bookmarkStart w:id="79" w:name="_Toc226309764"/>
      <w:r/>
      <w:bookmarkStart w:id="80" w:name="_Toc265228358"/>
      <w:r/>
      <w:bookmarkStart w:id="81" w:name="_Toc151193690"/>
      <w:r/>
      <w:bookmarkStart w:id="82" w:name="_Toc164229215"/>
      <w:r/>
      <w:bookmarkStart w:id="83" w:name="_Toc305158788"/>
      <w:r/>
      <w:bookmarkStart w:id="84" w:name="_Toc149720813"/>
      <w:r/>
      <w:bookmarkStart w:id="85" w:name="_Toc226965793"/>
      <w:r/>
      <w:bookmarkStart w:id="86" w:name="_Toc164351614"/>
      <w:r/>
      <w:bookmarkStart w:id="87" w:name="_Toc151193762"/>
      <w:r/>
      <w:bookmarkStart w:id="88" w:name="_Toc226337216"/>
      <w:r/>
      <w:bookmarkStart w:id="89" w:name="_Toc150480758"/>
      <w:r/>
      <w:bookmarkStart w:id="90" w:name="_Toc151190147"/>
      <w:r/>
      <w:bookmarkStart w:id="91" w:name="_Toc151193618"/>
      <w:r/>
      <w:bookmarkStart w:id="92" w:name="_Toc164608789"/>
      <w:r/>
      <w:bookmarkStart w:id="93" w:name="_Toc164608634"/>
      <w:r/>
      <w:bookmarkStart w:id="94" w:name="_Toc127161434"/>
      <w:r/>
      <w:bookmarkStart w:id="95" w:name="_Toc150509271"/>
      <w:r/>
      <w:bookmarkStart w:id="96" w:name="_Toc151193908"/>
      <w:r>
        <w:rPr>
          <w:rFonts w:hint="eastAsia" w:ascii="宋体" w:hAnsi="宋体" w:cs="宋体"/>
          <w:sz w:val="24"/>
        </w:rPr>
        <w:t xml:space="preserve">资金来源</w:t>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Fonts w:hint="eastAsia" w:ascii="宋体" w:hAnsi="宋体" w:cs="宋体"/>
          <w:sz w:val="24"/>
        </w:rPr>
        <w:t xml:space="preserve">、项目属性、科研仪器设备采购、核心产品</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资金来源为财政性资金和/或本项目采购中无法与财政性资金分割的非财政性资金</w:t>
      </w:r>
      <w:r>
        <w:rPr>
          <w:rFonts w:hint="eastAsia" w:ascii="宋体" w:hAnsi="宋体" w:cs="宋体"/>
          <w:sz w:val="24"/>
          <w:szCs w:val="24"/>
        </w:rPr>
        <w:t xml:space="preserve">。</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项目属性见《投标人须知资料表》</w:t>
      </w:r>
      <w:r>
        <w:rPr>
          <w:rFonts w:hint="eastAsia" w:ascii="宋体" w:hAnsi="宋体" w:cs="宋体"/>
          <w:sz w:val="24"/>
          <w:szCs w:val="24"/>
        </w:rPr>
        <w:t xml:space="preserve">。</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是否属于科研仪器设备采购见《投标人须知资料表》</w:t>
      </w:r>
      <w:r>
        <w:rPr>
          <w:rFonts w:hint="eastAsia" w:ascii="宋体" w:hAnsi="宋体" w:cs="宋体"/>
          <w:sz w:val="24"/>
          <w:szCs w:val="24"/>
        </w:rPr>
        <w:t xml:space="preserve">。</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核心产品见《投标人须知资料表》。</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现场考察、开标前答疑会</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若《投标人须知资料表》中规定了组织现场考察、召开开标前答疑会，则投标人应按要求在规定的时间和地点参加</w:t>
      </w:r>
      <w:r>
        <w:rPr>
          <w:rFonts w:hint="eastAsia" w:ascii="宋体" w:hAnsi="宋体" w:cs="宋体"/>
          <w:sz w:val="24"/>
          <w:szCs w:val="24"/>
        </w:rPr>
        <w:t xml:space="preserve">。</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68"/>
        <w:numPr>
          <w:ilvl w:val="0"/>
          <w:numId w:val="4"/>
        </w:numPr>
        <w:jc w:val="left"/>
        <w:spacing w:line="360" w:lineRule="auto"/>
        <w:rPr>
          <w:rFonts w:hint="eastAsia" w:ascii="宋体" w:hAnsi="宋体" w:cs="宋体"/>
          <w:sz w:val="24"/>
          <w:szCs w:val="24"/>
        </w:rPr>
      </w:pPr>
      <w:r>
        <w:rPr>
          <w:rFonts w:hint="eastAsia" w:ascii="宋体" w:hAnsi="宋体" w:cs="宋体"/>
          <w:sz w:val="24"/>
          <w:szCs w:val="24"/>
        </w:rPr>
        <w:t xml:space="preserve">样品</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68"/>
        <w:numPr>
          <w:ilvl w:val="0"/>
          <w:numId w:val="4"/>
        </w:numPr>
        <w:jc w:val="left"/>
        <w:spacing w:line="360" w:lineRule="auto"/>
        <w:rPr>
          <w:rFonts w:hint="eastAsia" w:ascii="宋体" w:hAnsi="宋体" w:cs="宋体"/>
          <w:sz w:val="24"/>
          <w:szCs w:val="24"/>
        </w:rPr>
      </w:pPr>
      <w:r>
        <w:rPr>
          <w:rFonts w:hint="eastAsia" w:ascii="宋体" w:hAnsi="宋体" w:cs="宋体"/>
          <w:sz w:val="24"/>
        </w:rPr>
        <w:t xml:space="preserve">政府采购政策（包括但不限于下列具体政策要求）</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进口产品</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中小企业、监狱企业及残疾人福利性单位</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中小企业定义</w:t>
      </w:r>
      <w:r/>
    </w:p>
    <w:p>
      <w:pPr>
        <w:pStyle w:val="1068"/>
        <w:numPr>
          <w:ilvl w:val="3"/>
          <w:numId w:val="4"/>
        </w:numPr>
        <w:ind w:left="1701"/>
        <w:jc w:val="left"/>
        <w:spacing w:line="360" w:lineRule="auto"/>
        <w:rPr>
          <w:rFonts w:hint="eastAsia" w:ascii="宋体" w:hAnsi="宋体" w:cs="宋体"/>
          <w:sz w:val="24"/>
          <w:szCs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以联合体形式参加政府采购活动，联合体各方均为中小企业</w:t>
      </w:r>
      <w:r>
        <w:rPr>
          <w:rFonts w:hint="eastAsia" w:ascii="宋体" w:hAnsi="宋体" w:cs="宋体"/>
          <w:sz w:val="24"/>
        </w:rPr>
        <w:t xml:space="preserve">的，联合体视同中小企业。其中，联合体各方均为小微企业的，联合体视同小微企业。</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残疾人福利单位定义：享受政府采购支持政策的残疾人福利性单位应当同时满足以下条件：</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依法与安置的每位残疾人签订了一年以上（含一年）的劳动合同或服务协议；</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68"/>
        <w:numPr>
          <w:ilvl w:val="3"/>
          <w:numId w:val="4"/>
        </w:numPr>
        <w:jc w:val="left"/>
        <w:spacing w:line="360" w:lineRule="auto"/>
        <w:rPr>
          <w:rFonts w:hint="eastAsia" w:ascii="宋体" w:hAnsi="宋体" w:cs="宋体"/>
          <w:sz w:val="24"/>
          <w:szCs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本项目是否专门面向中小企业预留采购份额见第一章《投标邀请》。</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采购标的对应的中小企业划分标准所属行业见《投标人须知资料</w:t>
      </w:r>
      <w:r>
        <w:rPr>
          <w:rFonts w:hint="eastAsia" w:ascii="宋体" w:hAnsi="宋体" w:cs="宋体"/>
          <w:sz w:val="24"/>
        </w:rPr>
        <w:t xml:space="preserve">表》。</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小微企业价格评审优惠的政策调整：见第三章《评标方法和评标标准》。</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政府采购节能产品、环境标志产品</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非政府强制采购的节能产品或环境标志产品，依据品目清单和认证证书实施政府优先采购。优先采购的具体规定见第三章《评标方法和评标标准》（如涉及）。</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支持乡村产业振兴管理</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正版软件</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政府采购创新产品政策</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采购人要将创新要求嵌入采购项目需求，可在采购文件中设定评审规则，优先采购各级政府部门公开发布的有效期内的创新产</w:t>
      </w:r>
      <w:r>
        <w:rPr>
          <w:rFonts w:hint="eastAsia" w:ascii="宋体" w:hAnsi="宋体" w:cs="宋体"/>
          <w:sz w:val="24"/>
        </w:rPr>
        <w:t xml:space="preserve">品、创新服务、首台套、首购首用等《目录》的创新产品，上述《目录》内创新产品，自认定之日起2年内视同已具备相应销售业绩，参加政府采购活动时业绩分值为满分。</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绿色采购政策</w:t>
      </w:r>
      <w:r/>
    </w:p>
    <w:p>
      <w:pPr>
        <w:pStyle w:val="1068"/>
        <w:numPr>
          <w:ilvl w:val="2"/>
          <w:numId w:val="4"/>
        </w:numPr>
        <w:jc w:val="left"/>
        <w:spacing w:line="360" w:lineRule="auto"/>
        <w:rPr>
          <w:rFonts w:hint="eastAsia" w:ascii="宋体" w:hAnsi="宋体" w:cs="宋体"/>
        </w:rPr>
      </w:pPr>
      <w:r>
        <w:rPr>
          <w:rFonts w:hint="eastAsia" w:ascii="宋体" w:hAnsi="宋体" w:cs="宋体"/>
          <w:b/>
          <w:bCs/>
          <w:sz w:val="24"/>
        </w:rPr>
        <w:t xml:space="preserve">绿色包装：</w:t>
      </w: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绿色数据中心政策：依据《绿色数据中心政府采购需求标准（试行）》（财办库〔2023〕7号）文件精神，采购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68"/>
        <w:numPr>
          <w:ilvl w:val="2"/>
          <w:numId w:val="4"/>
        </w:numPr>
        <w:jc w:val="left"/>
        <w:spacing w:line="360" w:lineRule="auto"/>
        <w:rPr>
          <w:rFonts w:hint="eastAsia" w:ascii="宋体" w:hAnsi="宋体" w:cs="宋体"/>
          <w:sz w:val="24"/>
          <w:szCs w:val="24"/>
        </w:rPr>
      </w:pPr>
      <w:r>
        <w:rPr>
          <w:rFonts w:hint="eastAsia" w:ascii="宋体" w:hAnsi="宋体" w:cs="宋体"/>
          <w:sz w:val="24"/>
        </w:rPr>
        <w:t xml:space="preserve">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68"/>
        <w:numPr>
          <w:ilvl w:val="0"/>
          <w:numId w:val="4"/>
        </w:numPr>
        <w:jc w:val="left"/>
        <w:spacing w:line="360" w:lineRule="auto"/>
        <w:rPr>
          <w:rFonts w:hint="eastAsia" w:ascii="宋体" w:hAnsi="宋体" w:cs="宋体"/>
          <w:sz w:val="24"/>
          <w:szCs w:val="24"/>
        </w:rPr>
      </w:pPr>
      <w:r>
        <w:rPr>
          <w:rFonts w:hint="eastAsia" w:ascii="宋体" w:hAnsi="宋体" w:cs="宋体"/>
          <w:sz w:val="24"/>
        </w:rPr>
        <w:t xml:space="preserve">投标费用</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ind w:left="267" w:hanging="267"/>
        <w:jc w:val="center"/>
        <w:spacing w:line="360" w:lineRule="auto"/>
        <w:rPr>
          <w:rFonts w:hint="eastAsia" w:ascii="宋体" w:hAnsi="宋体" w:cs="宋体"/>
          <w:sz w:val="24"/>
          <w:szCs w:val="24"/>
        </w:rPr>
      </w:pPr>
      <w:r>
        <w:rPr>
          <w:rFonts w:hint="eastAsia" w:ascii="宋体" w:hAnsi="宋体" w:cs="宋体"/>
          <w:b/>
          <w:sz w:val="28"/>
          <w:szCs w:val="28"/>
        </w:rPr>
        <w:t xml:space="preserve">二、招标文件</w:t>
      </w:r>
      <w:r/>
    </w:p>
    <w:p>
      <w:pPr>
        <w:pStyle w:val="1068"/>
        <w:numPr>
          <w:ilvl w:val="0"/>
          <w:numId w:val="4"/>
        </w:numPr>
        <w:jc w:val="left"/>
        <w:spacing w:line="360" w:lineRule="auto"/>
        <w:rPr>
          <w:rFonts w:hint="eastAsia" w:ascii="宋体" w:hAnsi="宋体" w:cs="宋体"/>
          <w:sz w:val="24"/>
          <w:szCs w:val="24"/>
        </w:rPr>
      </w:pPr>
      <w:r/>
      <w:bookmarkStart w:id="97" w:name="_Toc150774728"/>
      <w:r/>
      <w:bookmarkStart w:id="98" w:name="_Toc150774623"/>
      <w:r/>
      <w:bookmarkStart w:id="99" w:name="_Toc151193621"/>
      <w:r/>
      <w:bookmarkStart w:id="100" w:name="_Toc195842888"/>
      <w:r/>
      <w:bookmarkStart w:id="101" w:name="_Toc226965796"/>
      <w:r/>
      <w:bookmarkStart w:id="102" w:name="_Toc151193837"/>
      <w:r/>
      <w:bookmarkStart w:id="103" w:name="_Toc264969213"/>
      <w:r/>
      <w:bookmarkStart w:id="104" w:name="_Toc164229218"/>
      <w:r/>
      <w:bookmarkStart w:id="105" w:name="_Toc127161437"/>
      <w:r/>
      <w:bookmarkStart w:id="106" w:name="_Toc226337219"/>
      <w:r/>
      <w:bookmarkStart w:id="107" w:name="_Toc305158791"/>
      <w:r/>
      <w:bookmarkStart w:id="108" w:name="_Toc150480761"/>
      <w:r/>
      <w:bookmarkStart w:id="109" w:name="_Toc127151724"/>
      <w:r/>
      <w:bookmarkStart w:id="110" w:name="_Toc150509274"/>
      <w:r/>
      <w:bookmarkStart w:id="111" w:name="_Toc164608792"/>
      <w:r/>
      <w:bookmarkStart w:id="112" w:name="_Toc151193911"/>
      <w:r/>
      <w:bookmarkStart w:id="113" w:name="_Toc226309767"/>
      <w:r/>
      <w:bookmarkStart w:id="114" w:name="_Toc151193693"/>
      <w:r/>
      <w:bookmarkStart w:id="115" w:name="_Toc164351617"/>
      <w:r/>
      <w:bookmarkStart w:id="116" w:name="_Toc305158865"/>
      <w:r/>
      <w:bookmarkStart w:id="117" w:name="_Toc151193765"/>
      <w:r/>
      <w:bookmarkStart w:id="118" w:name="_Toc149720816"/>
      <w:r/>
      <w:bookmarkStart w:id="119" w:name="_Toc265228361"/>
      <w:r/>
      <w:bookmarkStart w:id="120" w:name="_Toc151190150"/>
      <w:r/>
      <w:bookmarkStart w:id="121" w:name="_Toc226965713"/>
      <w:r/>
      <w:bookmarkStart w:id="122" w:name="_Toc164229364"/>
      <w:r/>
      <w:bookmarkStart w:id="123" w:name="_Toc520356147"/>
      <w:r/>
      <w:bookmarkStart w:id="124" w:name="_Toc142311025"/>
      <w:r/>
      <w:bookmarkStart w:id="125" w:name="_Toc164608637"/>
      <w:r/>
      <w:bookmarkStart w:id="126" w:name="_Toc127151523"/>
      <w:r>
        <w:rPr>
          <w:rFonts w:hint="eastAsia" w:ascii="宋体" w:hAnsi="宋体" w:cs="宋体"/>
          <w:sz w:val="24"/>
        </w:rPr>
        <w:t xml:space="preserve">招标文件构</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rPr>
          <w:rFonts w:hint="eastAsia" w:ascii="宋体" w:hAnsi="宋体" w:cs="宋体"/>
          <w:sz w:val="24"/>
        </w:rPr>
        <w:t xml:space="preserve">成</w:t>
      </w:r>
      <w:r/>
    </w:p>
    <w:p>
      <w:pPr>
        <w:pStyle w:val="1068"/>
        <w:numPr>
          <w:ilvl w:val="1"/>
          <w:numId w:val="4"/>
        </w:numPr>
        <w:jc w:val="left"/>
        <w:spacing w:line="360" w:lineRule="auto"/>
        <w:rPr>
          <w:rFonts w:hint="eastAsia" w:ascii="宋体" w:hAnsi="宋体" w:cs="宋体"/>
          <w:sz w:val="24"/>
          <w:szCs w:val="24"/>
        </w:rPr>
      </w:pPr>
      <w:r>
        <w:rPr>
          <w:rFonts w:hint="eastAsia" w:ascii="宋体" w:hAnsi="宋体" w:cs="宋体"/>
          <w:sz w:val="24"/>
        </w:rPr>
        <w:t xml:space="preserve">招标文件包括以下部分：</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第一章  投标邀请</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第二章  投标人须知</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第三章  资格审查</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第四章评标程序、评标方法和评标标准</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第五章采购需求</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第六章  拟签订的合同文本</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第七章  投标文件格式</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对招标文件的澄清或修改</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w:t>
      </w:r>
      <w:r>
        <w:rPr>
          <w:rFonts w:hint="eastAsia" w:ascii="宋体" w:hAnsi="宋体" w:cs="宋体"/>
          <w:sz w:val="24"/>
        </w:rPr>
        <w:t xml:space="preserve">的，将在投标截止时间至少15日前，以更正公告形式通知所有获取招标文件的潜在投标人；不足15日的，将顺延提交投标文件的截止时间和开标时间。</w:t>
      </w:r>
      <w:r/>
    </w:p>
    <w:p>
      <w:pPr>
        <w:ind w:left="267" w:hanging="267"/>
        <w:jc w:val="center"/>
        <w:spacing w:line="360" w:lineRule="auto"/>
        <w:rPr>
          <w:rFonts w:hint="eastAsia" w:ascii="宋体" w:hAnsi="宋体" w:cs="宋体"/>
          <w:sz w:val="24"/>
        </w:rPr>
      </w:pPr>
      <w:r>
        <w:rPr>
          <w:rFonts w:hint="eastAsia" w:ascii="宋体" w:hAnsi="宋体" w:cs="宋体"/>
          <w:b/>
          <w:sz w:val="28"/>
          <w:szCs w:val="28"/>
        </w:rPr>
        <w:t xml:space="preserve">三、投标文件的编制</w:t>
      </w:r>
      <w:r/>
    </w:p>
    <w:p>
      <w:pPr>
        <w:pStyle w:val="1068"/>
        <w:numPr>
          <w:ilvl w:val="0"/>
          <w:numId w:val="4"/>
        </w:numPr>
        <w:jc w:val="left"/>
        <w:spacing w:line="360" w:lineRule="auto"/>
        <w:rPr>
          <w:rFonts w:hint="eastAsia" w:ascii="宋体" w:hAnsi="宋体" w:cs="宋体"/>
          <w:sz w:val="24"/>
        </w:rPr>
      </w:pPr>
      <w:r/>
      <w:bookmarkStart w:id="127" w:name="_Toc142311029"/>
      <w:r/>
      <w:bookmarkStart w:id="128" w:name="_Toc516367021"/>
      <w:r/>
      <w:bookmarkStart w:id="129" w:name="_Toc151193625"/>
      <w:r/>
      <w:bookmarkStart w:id="130" w:name="_Toc226309771"/>
      <w:r/>
      <w:bookmarkStart w:id="131" w:name="_Toc150480765"/>
      <w:r/>
      <w:bookmarkStart w:id="132" w:name="_Toc226965800"/>
      <w:r/>
      <w:bookmarkStart w:id="133" w:name="_Toc226965717"/>
      <w:r/>
      <w:bookmarkStart w:id="134" w:name="_Toc151193697"/>
      <w:r/>
      <w:bookmarkStart w:id="135" w:name="_Toc149720820"/>
      <w:r/>
      <w:bookmarkStart w:id="136" w:name="_Toc265228365"/>
      <w:r/>
      <w:bookmarkStart w:id="137" w:name="_Toc150509278"/>
      <w:r/>
      <w:bookmarkStart w:id="138" w:name="_Toc150774732"/>
      <w:r/>
      <w:bookmarkStart w:id="139" w:name="_Toc520356151"/>
      <w:r/>
      <w:bookmarkStart w:id="140" w:name="_Toc164229222"/>
      <w:r/>
      <w:bookmarkStart w:id="141" w:name="_Toc305158869"/>
      <w:r/>
      <w:bookmarkStart w:id="142" w:name="_Toc164608796"/>
      <w:r/>
      <w:bookmarkStart w:id="143" w:name="_Toc164351621"/>
      <w:r/>
      <w:bookmarkStart w:id="144" w:name="_Toc164608641"/>
      <w:r/>
      <w:bookmarkStart w:id="145" w:name="_Toc151193841"/>
      <w:r/>
      <w:bookmarkStart w:id="146" w:name="_Toc151190154"/>
      <w:r/>
      <w:bookmarkStart w:id="147" w:name="_Toc127151728"/>
      <w:r/>
      <w:bookmarkStart w:id="148" w:name="_Toc195842892"/>
      <w:r/>
      <w:bookmarkStart w:id="149" w:name="_Toc127151527"/>
      <w:r/>
      <w:bookmarkStart w:id="150" w:name="_Toc151193915"/>
      <w:r/>
      <w:bookmarkStart w:id="151" w:name="_Toc264969217"/>
      <w:r/>
      <w:bookmarkStart w:id="152" w:name="_Toc151193769"/>
      <w:r/>
      <w:bookmarkStart w:id="153" w:name="_Toc127161441"/>
      <w:r/>
      <w:bookmarkStart w:id="154" w:name="_Toc226337223"/>
      <w:r/>
      <w:bookmarkStart w:id="155" w:name="_Toc150774627"/>
      <w:r/>
      <w:bookmarkStart w:id="156" w:name="_Toc164229368"/>
      <w:r/>
      <w:bookmarkStart w:id="157" w:name="_Toc305158795"/>
      <w:r>
        <w:rPr>
          <w:rFonts w:hint="eastAsia" w:ascii="宋体" w:hAnsi="宋体" w:cs="宋体"/>
          <w:sz w:val="24"/>
        </w:rPr>
        <w:t xml:space="preserve">投标范围、投标文件中计量单位的使用</w:t>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cs="宋体"/>
          <w:sz w:val="24"/>
        </w:rPr>
        <w:t xml:space="preserve">及投标语言</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68"/>
        <w:numPr>
          <w:ilvl w:val="0"/>
          <w:numId w:val="4"/>
        </w:numPr>
        <w:jc w:val="left"/>
        <w:spacing w:line="360" w:lineRule="auto"/>
        <w:rPr>
          <w:rFonts w:hint="eastAsia" w:ascii="宋体" w:hAnsi="宋体" w:cs="宋体"/>
          <w:sz w:val="24"/>
        </w:rPr>
      </w:pPr>
      <w:r/>
      <w:bookmarkStart w:id="158" w:name="_Ref467306195"/>
      <w:r/>
      <w:bookmarkStart w:id="159" w:name="_Ref467306676"/>
      <w:r/>
      <w:bookmarkStart w:id="160" w:name="_Toc516367022"/>
      <w:r/>
      <w:bookmarkStart w:id="161" w:name="_Toc149720821"/>
      <w:r/>
      <w:bookmarkStart w:id="162" w:name="_Toc151193916"/>
      <w:r/>
      <w:bookmarkStart w:id="163" w:name="_Toc265228366"/>
      <w:r/>
      <w:bookmarkStart w:id="164" w:name="_Toc151193770"/>
      <w:r/>
      <w:bookmarkStart w:id="165" w:name="_Toc127151528"/>
      <w:r/>
      <w:bookmarkStart w:id="166" w:name="_Toc226337224"/>
      <w:r/>
      <w:bookmarkStart w:id="167" w:name="_Toc151190155"/>
      <w:r/>
      <w:bookmarkStart w:id="168" w:name="_Toc151193842"/>
      <w:r/>
      <w:bookmarkStart w:id="169" w:name="_Toc226309772"/>
      <w:r/>
      <w:bookmarkStart w:id="170" w:name="_Toc164608642"/>
      <w:r/>
      <w:bookmarkStart w:id="171" w:name="_Toc150774733"/>
      <w:r/>
      <w:bookmarkStart w:id="172" w:name="_Toc127151729"/>
      <w:r/>
      <w:bookmarkStart w:id="173" w:name="_Toc151193698"/>
      <w:r/>
      <w:bookmarkStart w:id="174" w:name="_Toc226965801"/>
      <w:r/>
      <w:bookmarkStart w:id="175" w:name="_Toc150509279"/>
      <w:r/>
      <w:bookmarkStart w:id="176" w:name="_Toc127161442"/>
      <w:r/>
      <w:bookmarkStart w:id="177" w:name="_Toc164229223"/>
      <w:r/>
      <w:bookmarkStart w:id="178" w:name="_Toc164229369"/>
      <w:r/>
      <w:bookmarkStart w:id="179" w:name="_Toc195842893"/>
      <w:r/>
      <w:bookmarkStart w:id="180" w:name="_Toc305158870"/>
      <w:r/>
      <w:bookmarkStart w:id="181" w:name="_Toc142311030"/>
      <w:r/>
      <w:bookmarkStart w:id="182" w:name="_Toc150480766"/>
      <w:r/>
      <w:bookmarkStart w:id="183" w:name="_Toc164608797"/>
      <w:r/>
      <w:bookmarkStart w:id="184" w:name="_Toc150774628"/>
      <w:r/>
      <w:bookmarkStart w:id="185" w:name="_Toc305158796"/>
      <w:r/>
      <w:bookmarkStart w:id="186" w:name="_Toc264969218"/>
      <w:r/>
      <w:bookmarkStart w:id="187" w:name="_Toc226965718"/>
      <w:r/>
      <w:bookmarkStart w:id="188" w:name="_Toc151193626"/>
      <w:r/>
      <w:bookmarkStart w:id="189" w:name="_Toc520356152"/>
      <w:r/>
      <w:bookmarkStart w:id="190" w:name="_Toc164351622"/>
      <w:r>
        <w:rPr>
          <w:rFonts w:hint="eastAsia" w:ascii="宋体" w:hAnsi="宋体" w:cs="宋体"/>
          <w:sz w:val="24"/>
        </w:rPr>
        <w:t xml:space="preserve">投标文件</w:t>
      </w:r>
      <w:bookmarkEnd w:id="158"/>
      <w:r/>
      <w:bookmarkEnd w:id="159"/>
      <w:r/>
      <w:bookmarkEnd w:id="160"/>
      <w:r>
        <w:rPr>
          <w:rFonts w:hint="eastAsia" w:ascii="宋体" w:hAnsi="宋体" w:cs="宋体"/>
          <w:sz w:val="24"/>
        </w:rPr>
        <w:t xml:space="preserve">构成</w:t>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w:t>
      </w:r>
      <w:r>
        <w:rPr>
          <w:rFonts w:hint="eastAsia" w:ascii="宋体" w:hAnsi="宋体" w:cs="宋体"/>
          <w:sz w:val="24"/>
        </w:rPr>
        <w:t xml:space="preserve">章《采购需求》中要求提供证明文件的，投标人应当按具体要求提供证明文件。</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投标人认为应附的其他材料。</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如标书制作工具中格式和内容与“江苏政府采购网”</w:t>
      </w:r>
      <w:r>
        <w:rPr>
          <w:rFonts w:hint="eastAsia" w:ascii="宋体" w:hAnsi="宋体" w:cs="宋体"/>
          <w:sz w:val="24"/>
          <w:szCs w:val="24"/>
        </w:rPr>
        <w:t xml:space="preserve"> 、“常州市政府采购网”</w:t>
      </w:r>
      <w:r>
        <w:rPr>
          <w:rFonts w:hint="eastAsia" w:ascii="宋体" w:hAnsi="宋体" w:cs="宋体"/>
          <w:sz w:val="24"/>
        </w:rPr>
        <w:t xml:space="preserve">发布的招标文件不一致，请以“江苏政府采购网”</w:t>
      </w:r>
      <w:r>
        <w:rPr>
          <w:rFonts w:hint="eastAsia" w:ascii="宋体" w:hAnsi="宋体" w:cs="宋体"/>
          <w:sz w:val="24"/>
          <w:szCs w:val="24"/>
        </w:rPr>
        <w:t xml:space="preserve"> 、“常州市政府采购网”</w:t>
      </w:r>
      <w:r>
        <w:rPr>
          <w:rFonts w:hint="eastAsia" w:ascii="宋体" w:hAnsi="宋体" w:cs="宋体"/>
          <w:sz w:val="24"/>
        </w:rPr>
        <w:t xml:space="preserve">发布的招标文件为准。</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投标报价</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所有投标均以人民币报价。</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投标保证金：根据江苏省和常州市的相关文件规定，免收保证金</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投标有效期</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p>
    <w:p>
      <w:pPr>
        <w:pStyle w:val="1068"/>
        <w:numPr>
          <w:ilvl w:val="0"/>
          <w:numId w:val="4"/>
        </w:numPr>
        <w:jc w:val="left"/>
        <w:spacing w:line="360" w:lineRule="auto"/>
        <w:rPr>
          <w:rFonts w:hint="eastAsia" w:ascii="宋体" w:hAnsi="宋体" w:cs="宋体"/>
          <w:sz w:val="24"/>
        </w:rPr>
      </w:pPr>
      <w:r/>
      <w:bookmarkStart w:id="191" w:name="_Toc151193921"/>
      <w:r/>
      <w:bookmarkStart w:id="192" w:name="_Toc305158875"/>
      <w:r/>
      <w:bookmarkStart w:id="193" w:name="_Toc265228371"/>
      <w:r/>
      <w:bookmarkStart w:id="194" w:name="_Toc226965806"/>
      <w:r/>
      <w:bookmarkStart w:id="195" w:name="_Toc195842898"/>
      <w:r/>
      <w:bookmarkStart w:id="196" w:name="_Toc151193703"/>
      <w:r/>
      <w:bookmarkStart w:id="197" w:name="_Toc150774738"/>
      <w:r/>
      <w:bookmarkStart w:id="198" w:name="_Toc226337229"/>
      <w:r/>
      <w:bookmarkStart w:id="199" w:name="_Toc164608802"/>
      <w:r/>
      <w:bookmarkStart w:id="200" w:name="_Toc264969223"/>
      <w:r/>
      <w:bookmarkStart w:id="201" w:name="_Toc520356158"/>
      <w:r/>
      <w:bookmarkStart w:id="202" w:name="_Toc151190160"/>
      <w:r/>
      <w:bookmarkStart w:id="203" w:name="_Toc150774633"/>
      <w:r/>
      <w:bookmarkStart w:id="204" w:name="_Toc150509284"/>
      <w:r/>
      <w:bookmarkStart w:id="205" w:name="_Toc164351627"/>
      <w:r/>
      <w:bookmarkStart w:id="206" w:name="_Toc150480771"/>
      <w:r/>
      <w:bookmarkStart w:id="207" w:name="_Toc127151533"/>
      <w:r/>
      <w:bookmarkStart w:id="208" w:name="_Toc226309777"/>
      <w:r/>
      <w:bookmarkStart w:id="209" w:name="_Toc151193775"/>
      <w:r/>
      <w:bookmarkStart w:id="210" w:name="_Toc127151734"/>
      <w:r/>
      <w:bookmarkStart w:id="211" w:name="_Toc151193847"/>
      <w:r/>
      <w:bookmarkStart w:id="212" w:name="_Toc164229228"/>
      <w:r/>
      <w:bookmarkStart w:id="213" w:name="_Toc151193631"/>
      <w:r/>
      <w:bookmarkStart w:id="214" w:name="_Toc127161447"/>
      <w:r/>
      <w:bookmarkStart w:id="215" w:name="_Toc149720826"/>
      <w:r/>
      <w:bookmarkStart w:id="216" w:name="_Toc226965723"/>
      <w:r/>
      <w:bookmarkStart w:id="217" w:name="_Toc305158801"/>
      <w:r/>
      <w:bookmarkStart w:id="218" w:name="_Toc142311035"/>
      <w:r/>
      <w:bookmarkStart w:id="219" w:name="_Toc164229374"/>
      <w:r/>
      <w:bookmarkStart w:id="220" w:name="_Toc164608647"/>
      <w:r>
        <w:rPr>
          <w:rFonts w:hint="eastAsia" w:ascii="宋体" w:hAnsi="宋体" w:cs="宋体"/>
          <w:sz w:val="24"/>
        </w:rPr>
        <w:t xml:space="preserve">投标文件的</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rPr>
          <w:rFonts w:hint="eastAsia" w:ascii="宋体" w:hAnsi="宋体" w:cs="宋体"/>
          <w:sz w:val="24"/>
        </w:rPr>
        <w:t xml:space="preserve">制作、密封与盖章</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招标文件要求签字的内容，可以使用电子签章或使用原件的电子件（电</w:t>
      </w:r>
      <w:r>
        <w:rPr>
          <w:rFonts w:hint="eastAsia" w:ascii="宋体" w:hAnsi="宋体" w:cs="宋体"/>
          <w:sz w:val="24"/>
        </w:rPr>
        <w:t xml:space="preserve">子件指扫描件、照片等形式电子文件）；要求第三方出具的加盖公章原件（如联合协议、分包意向协议、制造商授权书等），投标文件中应使用原件的电子件。</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ind w:left="267" w:hanging="267"/>
        <w:jc w:val="center"/>
        <w:spacing w:line="360" w:lineRule="auto"/>
        <w:rPr>
          <w:rFonts w:hint="eastAsia" w:ascii="宋体" w:hAnsi="宋体" w:cs="宋体"/>
          <w:sz w:val="24"/>
        </w:rPr>
      </w:pPr>
      <w:r/>
      <w:bookmarkStart w:id="221" w:name="_Toc150509285"/>
      <w:r/>
      <w:bookmarkStart w:id="222" w:name="_Toc195842899"/>
      <w:r/>
      <w:bookmarkStart w:id="223" w:name="_Toc151193776"/>
      <w:r/>
      <w:bookmarkStart w:id="224" w:name="_Toc226337230"/>
      <w:r/>
      <w:bookmarkStart w:id="225" w:name="_Toc127151534"/>
      <w:r/>
      <w:bookmarkStart w:id="226" w:name="_Toc150774739"/>
      <w:r/>
      <w:bookmarkStart w:id="227" w:name="_Toc151193704"/>
      <w:r/>
      <w:bookmarkStart w:id="228" w:name="_Toc520356159"/>
      <w:r/>
      <w:bookmarkStart w:id="229" w:name="_Toc305158876"/>
      <w:r/>
      <w:bookmarkStart w:id="230" w:name="_Toc264969224"/>
      <w:r/>
      <w:bookmarkStart w:id="231" w:name="_Toc305158802"/>
      <w:r/>
      <w:bookmarkStart w:id="232" w:name="_Toc226965807"/>
      <w:r/>
      <w:bookmarkStart w:id="233" w:name="_Toc151193848"/>
      <w:r/>
      <w:bookmarkStart w:id="234" w:name="_Toc265228372"/>
      <w:r/>
      <w:bookmarkStart w:id="235" w:name="_Toc226965724"/>
      <w:r/>
      <w:bookmarkStart w:id="236" w:name="_Toc150480772"/>
      <w:r/>
      <w:bookmarkStart w:id="237" w:name="_Toc151190161"/>
      <w:r/>
      <w:bookmarkStart w:id="238" w:name="_Toc142311036"/>
      <w:r/>
      <w:bookmarkStart w:id="239" w:name="_Toc150774634"/>
      <w:r/>
      <w:bookmarkStart w:id="240" w:name="_Toc226309778"/>
      <w:r/>
      <w:bookmarkStart w:id="241" w:name="_Toc151193632"/>
      <w:r/>
      <w:bookmarkStart w:id="242" w:name="_Toc151193922"/>
      <w:r>
        <w:rPr>
          <w:rFonts w:hint="eastAsia" w:ascii="宋体" w:hAnsi="宋体" w:cs="宋体"/>
          <w:b/>
          <w:sz w:val="28"/>
          <w:szCs w:val="28"/>
        </w:rPr>
        <w:t xml:space="preserve">四、投标文件的提交</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pStyle w:val="1068"/>
        <w:numPr>
          <w:ilvl w:val="0"/>
          <w:numId w:val="4"/>
        </w:numPr>
        <w:jc w:val="left"/>
        <w:spacing w:line="360" w:lineRule="auto"/>
        <w:rPr>
          <w:rFonts w:hint="eastAsia" w:ascii="宋体" w:hAnsi="宋体" w:cs="宋体"/>
          <w:sz w:val="24"/>
        </w:rPr>
      </w:pPr>
      <w:r/>
      <w:bookmarkStart w:id="243" w:name="_Toc151193849"/>
      <w:r/>
      <w:bookmarkStart w:id="244" w:name="_Toc265228373"/>
      <w:r/>
      <w:bookmarkStart w:id="245" w:name="_Toc164608649"/>
      <w:r/>
      <w:bookmarkStart w:id="246" w:name="_Toc150509286"/>
      <w:r/>
      <w:bookmarkStart w:id="247" w:name="_Toc151193633"/>
      <w:r/>
      <w:bookmarkStart w:id="248" w:name="_Toc150480773"/>
      <w:r/>
      <w:bookmarkStart w:id="249" w:name="_Toc127161449"/>
      <w:r/>
      <w:bookmarkStart w:id="250" w:name="_Toc226965808"/>
      <w:r/>
      <w:bookmarkStart w:id="251" w:name="_Toc305158803"/>
      <w:r/>
      <w:bookmarkStart w:id="252" w:name="_Toc264969225"/>
      <w:r/>
      <w:bookmarkStart w:id="253" w:name="_Toc142311037"/>
      <w:r/>
      <w:bookmarkStart w:id="254" w:name="_Toc164229230"/>
      <w:r/>
      <w:bookmarkStart w:id="255" w:name="_Toc151193923"/>
      <w:r/>
      <w:bookmarkStart w:id="256" w:name="_Toc149720828"/>
      <w:r/>
      <w:bookmarkStart w:id="257" w:name="_Toc151193777"/>
      <w:r/>
      <w:bookmarkStart w:id="258" w:name="_Toc151190162"/>
      <w:r/>
      <w:bookmarkStart w:id="259" w:name="_Toc150774635"/>
      <w:r/>
      <w:bookmarkStart w:id="260" w:name="_Toc226309779"/>
      <w:r/>
      <w:bookmarkStart w:id="261" w:name="_Toc164608804"/>
      <w:r/>
      <w:bookmarkStart w:id="262" w:name="_Toc150774740"/>
      <w:r/>
      <w:bookmarkStart w:id="263" w:name="_Toc520356160"/>
      <w:r/>
      <w:bookmarkStart w:id="264" w:name="_Toc305158877"/>
      <w:r/>
      <w:bookmarkStart w:id="265" w:name="_Toc226965725"/>
      <w:r/>
      <w:bookmarkStart w:id="266" w:name="_Toc127151736"/>
      <w:r/>
      <w:bookmarkStart w:id="267" w:name="_Toc226337231"/>
      <w:r/>
      <w:bookmarkStart w:id="268" w:name="_Toc195842900"/>
      <w:r/>
      <w:bookmarkStart w:id="269" w:name="_Toc127151535"/>
      <w:r/>
      <w:bookmarkStart w:id="270" w:name="_Toc164229376"/>
      <w:r/>
      <w:bookmarkStart w:id="271" w:name="_Toc164351629"/>
      <w:r/>
      <w:bookmarkStart w:id="272" w:name="_Toc151193705"/>
      <w:r>
        <w:rPr>
          <w:rFonts w:hint="eastAsia" w:ascii="宋体" w:hAnsi="宋体" w:cs="宋体"/>
          <w:sz w:val="24"/>
        </w:rPr>
        <w:t xml:space="preserve">投标文件的</w:t>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Pr>
          <w:rFonts w:hint="eastAsia" w:ascii="宋体" w:hAnsi="宋体" w:cs="宋体"/>
          <w:sz w:val="24"/>
        </w:rPr>
        <w:t xml:space="preserve">提交</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本项目使用“苏采云”系统。投标人根据招标文件及“苏采云”系统供应商操作手册要求编制、生成并提交电子投标文件。</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采购人及采购代理机构拒绝接受通过“苏采云”系统以外任何形式提交的投标文件。</w:t>
      </w:r>
      <w:r/>
    </w:p>
    <w:p>
      <w:pPr>
        <w:pStyle w:val="1068"/>
        <w:numPr>
          <w:ilvl w:val="0"/>
          <w:numId w:val="4"/>
        </w:numPr>
        <w:jc w:val="left"/>
        <w:spacing w:line="360" w:lineRule="auto"/>
        <w:rPr>
          <w:rFonts w:hint="eastAsia" w:ascii="宋体" w:hAnsi="宋体" w:cs="宋体"/>
          <w:sz w:val="24"/>
        </w:rPr>
      </w:pPr>
      <w:r/>
      <w:bookmarkStart w:id="273" w:name="_Toc164351630"/>
      <w:r/>
      <w:bookmarkStart w:id="274" w:name="_Toc264969226"/>
      <w:r/>
      <w:bookmarkStart w:id="275" w:name="_Toc164608805"/>
      <w:r/>
      <w:bookmarkStart w:id="276" w:name="_Toc226965809"/>
      <w:r/>
      <w:bookmarkStart w:id="277" w:name="_Toc127151536"/>
      <w:r/>
      <w:bookmarkStart w:id="278" w:name="_Toc164229377"/>
      <w:r/>
      <w:bookmarkStart w:id="279" w:name="_Toc226337232"/>
      <w:r/>
      <w:bookmarkStart w:id="280" w:name="_Toc164229231"/>
      <w:r/>
      <w:bookmarkStart w:id="281" w:name="_Toc226965726"/>
      <w:r/>
      <w:bookmarkStart w:id="282" w:name="_Toc151193924"/>
      <w:r/>
      <w:bookmarkStart w:id="283" w:name="_Toc149720829"/>
      <w:r/>
      <w:bookmarkStart w:id="284" w:name="_Toc520356161"/>
      <w:r/>
      <w:bookmarkStart w:id="285" w:name="_Toc265228374"/>
      <w:r/>
      <w:bookmarkStart w:id="286" w:name="_Toc151193706"/>
      <w:r/>
      <w:bookmarkStart w:id="287" w:name="_Toc164608650"/>
      <w:r/>
      <w:bookmarkStart w:id="288" w:name="_Toc150774636"/>
      <w:r/>
      <w:bookmarkStart w:id="289" w:name="_Toc151193850"/>
      <w:r/>
      <w:bookmarkStart w:id="290" w:name="_Toc226309780"/>
      <w:r/>
      <w:bookmarkStart w:id="291" w:name="_Toc195842901"/>
      <w:r/>
      <w:bookmarkStart w:id="292" w:name="_Toc151193634"/>
      <w:r/>
      <w:bookmarkStart w:id="293" w:name="_Toc151193778"/>
      <w:r/>
      <w:bookmarkStart w:id="294" w:name="_Toc305158804"/>
      <w:r/>
      <w:bookmarkStart w:id="295" w:name="_Toc150774741"/>
      <w:r/>
      <w:bookmarkStart w:id="296" w:name="_Toc127161450"/>
      <w:r/>
      <w:bookmarkStart w:id="297" w:name="_Toc305158878"/>
      <w:r/>
      <w:bookmarkStart w:id="298" w:name="_Toc150480774"/>
      <w:r/>
      <w:bookmarkStart w:id="299" w:name="_Toc142311038"/>
      <w:r/>
      <w:bookmarkStart w:id="300" w:name="_Toc150509287"/>
      <w:r/>
      <w:bookmarkStart w:id="301" w:name="_Toc127151737"/>
      <w:r/>
      <w:bookmarkStart w:id="302" w:name="_Toc151190163"/>
      <w:r>
        <w:rPr>
          <w:rFonts w:hint="eastAsia" w:ascii="宋体" w:hAnsi="宋体" w:cs="宋体"/>
          <w:sz w:val="24"/>
        </w:rPr>
        <w:t xml:space="preserve">投标截止</w:t>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cs="宋体"/>
          <w:sz w:val="24"/>
        </w:rPr>
        <w:t xml:space="preserve">时间</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投标人应在招标文件要求提交投标文件截止时间前，将电子投标文件提交至“苏采云”系统。</w:t>
      </w:r>
      <w:r/>
    </w:p>
    <w:p>
      <w:pPr>
        <w:pStyle w:val="1068"/>
        <w:numPr>
          <w:ilvl w:val="0"/>
          <w:numId w:val="4"/>
        </w:numPr>
        <w:jc w:val="left"/>
        <w:spacing w:line="360" w:lineRule="auto"/>
        <w:rPr>
          <w:rFonts w:hint="eastAsia" w:ascii="宋体" w:hAnsi="宋体" w:cs="宋体"/>
          <w:sz w:val="24"/>
        </w:rPr>
      </w:pPr>
      <w:r/>
      <w:bookmarkStart w:id="303" w:name="_Toc149720830"/>
      <w:r/>
      <w:bookmarkStart w:id="304" w:name="_Toc164229378"/>
      <w:r/>
      <w:bookmarkStart w:id="305" w:name="_Toc151193851"/>
      <w:r/>
      <w:bookmarkStart w:id="306" w:name="_Toc150774637"/>
      <w:r/>
      <w:bookmarkStart w:id="307" w:name="_Toc150480775"/>
      <w:r/>
      <w:bookmarkStart w:id="308" w:name="_Toc150774742"/>
      <w:r/>
      <w:bookmarkStart w:id="309" w:name="_Toc151193779"/>
      <w:r/>
      <w:bookmarkStart w:id="310" w:name="_Toc195842902"/>
      <w:r/>
      <w:bookmarkStart w:id="311" w:name="_Toc151193707"/>
      <w:r/>
      <w:bookmarkStart w:id="312" w:name="_Toc226965810"/>
      <w:r/>
      <w:bookmarkStart w:id="313" w:name="_Toc164351631"/>
      <w:r/>
      <w:bookmarkStart w:id="314" w:name="_Toc151193925"/>
      <w:r/>
      <w:bookmarkStart w:id="315" w:name="_Toc127161451"/>
      <w:r/>
      <w:bookmarkStart w:id="316" w:name="_Toc151193635"/>
      <w:r/>
      <w:bookmarkStart w:id="317" w:name="_Toc164608651"/>
      <w:r/>
      <w:bookmarkStart w:id="318" w:name="_Toc226965727"/>
      <w:r/>
      <w:bookmarkStart w:id="319" w:name="_Toc226309781"/>
      <w:r/>
      <w:bookmarkStart w:id="320" w:name="_Toc142311039"/>
      <w:r/>
      <w:bookmarkStart w:id="321" w:name="_Toc151190164"/>
      <w:r/>
      <w:bookmarkStart w:id="322" w:name="_Toc164229232"/>
      <w:r/>
      <w:bookmarkStart w:id="323" w:name="_Toc305158805"/>
      <w:r/>
      <w:bookmarkStart w:id="324" w:name="_Toc520356162"/>
      <w:r/>
      <w:bookmarkStart w:id="325" w:name="_Toc305158879"/>
      <w:r/>
      <w:bookmarkStart w:id="326" w:name="_Toc164608806"/>
      <w:r/>
      <w:bookmarkStart w:id="327" w:name="_Toc264969227"/>
      <w:r/>
      <w:bookmarkStart w:id="328" w:name="_Toc127151537"/>
      <w:r/>
      <w:bookmarkStart w:id="329" w:name="_Toc150509288"/>
      <w:r/>
      <w:bookmarkStart w:id="330" w:name="_Toc226337233"/>
      <w:r/>
      <w:bookmarkStart w:id="331" w:name="_Toc127151738"/>
      <w:r/>
      <w:bookmarkStart w:id="332" w:name="_Toc265228375"/>
      <w:r>
        <w:rPr>
          <w:rFonts w:hint="eastAsia" w:ascii="宋体" w:hAnsi="宋体" w:cs="宋体"/>
          <w:sz w:val="24"/>
        </w:rPr>
        <w:t xml:space="preserve">投标文件的修改与撤回</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投标截止时间前，投标人可以通过“苏采云”系统对所提交的投标文件进行补充、修改或者撤回。具体操作方法见《操作手册》。</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rPr>
          <w:rFonts w:hint="eastAsia" w:ascii="宋体" w:hAnsi="宋体" w:cs="宋体"/>
          <w:sz w:val="24"/>
        </w:rPr>
        <w:t xml:space="preserve">。</w:t>
      </w:r>
      <w:r/>
    </w:p>
    <w:p>
      <w:pPr>
        <w:pStyle w:val="1068"/>
        <w:numPr>
          <w:ilvl w:val="1"/>
          <w:numId w:val="4"/>
        </w:numPr>
        <w:jc w:val="left"/>
        <w:spacing w:line="360" w:lineRule="auto"/>
        <w:rPr>
          <w:rFonts w:hint="eastAsia" w:ascii="宋体" w:hAnsi="宋体" w:cs="宋体"/>
          <w:sz w:val="24"/>
        </w:rPr>
      </w:pPr>
      <w:r>
        <w:rPr>
          <w:rFonts w:hint="eastAsia" w:ascii="宋体" w:hAnsi="宋体" w:cs="宋体"/>
          <w:bCs/>
          <w:sz w:val="24"/>
        </w:rPr>
        <w:t xml:space="preserve">在投标截止时间至招标文件中规定的投标有效期满之间的这段时间内，投标人不得撤回其投标。</w:t>
      </w:r>
      <w:r/>
    </w:p>
    <w:p>
      <w:pPr>
        <w:ind w:left="267" w:hanging="267"/>
        <w:jc w:val="center"/>
        <w:spacing w:line="360" w:lineRule="auto"/>
        <w:rPr>
          <w:rFonts w:hint="eastAsia" w:ascii="宋体" w:hAnsi="宋体" w:cs="宋体"/>
          <w:b/>
          <w:sz w:val="28"/>
          <w:szCs w:val="28"/>
        </w:rPr>
      </w:pPr>
      <w:r/>
      <w:bookmarkStart w:id="333" w:name="_Toc305158806"/>
      <w:r/>
      <w:bookmarkStart w:id="334" w:name="_Toc151193926"/>
      <w:r/>
      <w:bookmarkStart w:id="335" w:name="_Toc226309782"/>
      <w:r/>
      <w:bookmarkStart w:id="336" w:name="_Toc150480776"/>
      <w:r/>
      <w:bookmarkStart w:id="337" w:name="_Toc264969228"/>
      <w:r/>
      <w:bookmarkStart w:id="338" w:name="_Toc150774743"/>
      <w:r/>
      <w:bookmarkStart w:id="339" w:name="_Toc150774638"/>
      <w:r/>
      <w:bookmarkStart w:id="340" w:name="_Toc142311040"/>
      <w:r/>
      <w:bookmarkStart w:id="341" w:name="_Toc151193780"/>
      <w:r/>
      <w:bookmarkStart w:id="342" w:name="_Toc195842903"/>
      <w:r/>
      <w:bookmarkStart w:id="343" w:name="_Toc226337234"/>
      <w:r/>
      <w:bookmarkStart w:id="344" w:name="_Toc151193852"/>
      <w:r/>
      <w:bookmarkStart w:id="345" w:name="_Toc150509289"/>
      <w:r/>
      <w:bookmarkStart w:id="346" w:name="_Toc226965728"/>
      <w:r/>
      <w:bookmarkStart w:id="347" w:name="_Toc305158880"/>
      <w:r/>
      <w:bookmarkStart w:id="348" w:name="_Toc151190165"/>
      <w:r/>
      <w:bookmarkStart w:id="349" w:name="_Toc151193636"/>
      <w:r/>
      <w:bookmarkStart w:id="350" w:name="_Toc151193708"/>
      <w:r/>
      <w:bookmarkStart w:id="351" w:name="_Toc127151538"/>
      <w:r/>
      <w:bookmarkStart w:id="352" w:name="_Toc226965811"/>
      <w:r/>
      <w:bookmarkStart w:id="353" w:name="_Toc265228376"/>
      <w:r/>
      <w:bookmarkStart w:id="354" w:name="_Toc520356163"/>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cs="宋体"/>
          <w:b/>
          <w:sz w:val="28"/>
          <w:szCs w:val="28"/>
        </w:rPr>
        <w:t xml:space="preserve">五</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hint="eastAsia" w:ascii="宋体" w:hAnsi="宋体" w:cs="宋体"/>
          <w:b/>
          <w:sz w:val="28"/>
          <w:szCs w:val="28"/>
        </w:rPr>
        <w:t xml:space="preserve">、开标、资格审查及评标</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开标</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本项目开标采用不见面招投标模式，使用“苏采云”系统在线进行开标。投标人应在规定的时间内对投标文件进行解密，因非系统原因导致的解密失败，视为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开标过程将使用“苏采云”系统公布投标人名称、投标价格和招标文件</w:t>
      </w:r>
      <w:r>
        <w:rPr>
          <w:rFonts w:hint="eastAsia" w:ascii="宋体" w:hAnsi="宋体" w:cs="宋体"/>
          <w:sz w:val="24"/>
        </w:rPr>
        <w:t xml:space="preserve">规定的需要宣布的其他内容并进行记录，并由参加开标的各投标人代表在规定时间内确认。投标人超过规定时间未确认但是未提出疑义的，系统将视同已确认。</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投标人如果对开标过程和开标记录有疑义，应当根据《操作手册》规定提出，如“苏采云”系统中《开标记录表》宣布后5分钟内未提出的，视同认可开标结果。</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本项目（每标段）投标人不足3家的，不予开标。</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如果在采购活动过程中出现以下情形，导致““苏采云”系统”系统无法正常运行，或者无法保证本项目采购活动的公平、公正和</w:t>
      </w:r>
      <w:r>
        <w:rPr>
          <w:rFonts w:hint="eastAsia" w:ascii="宋体" w:hAnsi="宋体" w:cs="宋体"/>
          <w:sz w:val="24"/>
        </w:rPr>
        <w:t xml:space="preserve">安全时，代理机构可以延缓或者暂停采购活动，情况严重的可以终止采购活动：1)平台系统发生故障而无法登录访问的；2)平台系统应用或数据库出现错误，不能进行正常操作的；3)平台系统发现严重安全漏洞，有潜在泄密危险的；4)病毒发作导致平台系统不能进行正常操作的；5)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资格审查</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见第三章《资格审查》</w:t>
      </w:r>
      <w:r/>
    </w:p>
    <w:p>
      <w:pPr>
        <w:pStyle w:val="1068"/>
        <w:numPr>
          <w:ilvl w:val="0"/>
          <w:numId w:val="4"/>
        </w:numPr>
        <w:jc w:val="left"/>
        <w:spacing w:line="360" w:lineRule="auto"/>
        <w:rPr>
          <w:rFonts w:hint="eastAsia" w:ascii="宋体" w:hAnsi="宋体" w:cs="宋体"/>
          <w:sz w:val="24"/>
        </w:rPr>
      </w:pPr>
      <w:r/>
      <w:bookmarkStart w:id="355" w:name="_Toc150774745"/>
      <w:r/>
      <w:bookmarkStart w:id="356" w:name="_Toc164351634"/>
      <w:r/>
      <w:bookmarkStart w:id="357" w:name="_Toc164229235"/>
      <w:r/>
      <w:bookmarkStart w:id="358" w:name="_Toc151193782"/>
      <w:r/>
      <w:bookmarkStart w:id="359" w:name="_Toc151193854"/>
      <w:r/>
      <w:bookmarkStart w:id="360" w:name="_Toc151190167"/>
      <w:r/>
      <w:bookmarkStart w:id="361" w:name="_Toc164229381"/>
      <w:r/>
      <w:bookmarkStart w:id="362" w:name="_Toc150480778"/>
      <w:r/>
      <w:bookmarkStart w:id="363" w:name="_Toc142311042"/>
      <w:r/>
      <w:bookmarkStart w:id="364" w:name="_Toc305158882"/>
      <w:r/>
      <w:bookmarkStart w:id="365" w:name="_Toc226965813"/>
      <w:r/>
      <w:bookmarkStart w:id="366" w:name="_Toc151193928"/>
      <w:r/>
      <w:bookmarkStart w:id="367" w:name="_Toc265228378"/>
      <w:r/>
      <w:bookmarkStart w:id="368" w:name="_Toc164608809"/>
      <w:r/>
      <w:bookmarkStart w:id="369" w:name="_Toc164608654"/>
      <w:r/>
      <w:bookmarkStart w:id="370" w:name="_Toc151193710"/>
      <w:r/>
      <w:bookmarkStart w:id="371" w:name="_Toc150509291"/>
      <w:r/>
      <w:bookmarkStart w:id="372" w:name="_Toc264969230"/>
      <w:r/>
      <w:bookmarkStart w:id="373" w:name="_Toc149720833"/>
      <w:r/>
      <w:bookmarkStart w:id="374" w:name="_Toc226965730"/>
      <w:r/>
      <w:bookmarkStart w:id="375" w:name="_Toc305158808"/>
      <w:r/>
      <w:bookmarkStart w:id="376" w:name="_Toc127151540"/>
      <w:r/>
      <w:bookmarkStart w:id="377" w:name="_Toc226337236"/>
      <w:r/>
      <w:bookmarkStart w:id="378" w:name="_Toc226309784"/>
      <w:r/>
      <w:bookmarkStart w:id="379" w:name="_Toc195842905"/>
      <w:r/>
      <w:bookmarkStart w:id="380" w:name="_Toc151193638"/>
      <w:r/>
      <w:bookmarkStart w:id="381" w:name="_Toc150774640"/>
      <w:r/>
      <w:bookmarkStart w:id="382" w:name="_Toc127161454"/>
      <w:r/>
      <w:bookmarkStart w:id="383" w:name="_Toc127151741"/>
      <w:r>
        <w:rPr>
          <w:rFonts w:hint="eastAsia" w:ascii="宋体" w:hAnsi="宋体" w:cs="宋体"/>
          <w:sz w:val="24"/>
        </w:rPr>
        <w:t xml:space="preserve">评标委员会</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评标程序、评标方法和评标标准</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见第四章《评标程序、评标方法和评标标准》。</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评审内容的保密</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开标开始后，直到宣布授予中标人合同为止，凡属于审查、澄清、评价和比较投标文件的所有资料，有关授予合同的信息都不应向投标人或与评审无关的其他人泄露。</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在评审过程中，投标人不得以任何行为影响评审过程，否则其投标文件将被作为无效投标文件。</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评标委员会不向未中标的投标人解释未中标原因，也不公布评审过程中的相关细节。</w:t>
      </w:r>
      <w:r/>
    </w:p>
    <w:p>
      <w:pPr>
        <w:ind w:left="267" w:hanging="267"/>
        <w:jc w:val="center"/>
        <w:spacing w:line="360" w:lineRule="auto"/>
        <w:rPr>
          <w:rFonts w:hint="eastAsia" w:ascii="宋体" w:hAnsi="宋体" w:cs="宋体"/>
          <w:b/>
          <w:sz w:val="28"/>
          <w:szCs w:val="28"/>
        </w:rPr>
      </w:pPr>
      <w:r/>
      <w:bookmarkStart w:id="384" w:name="_Toc520356169"/>
      <w:r/>
      <w:bookmarkStart w:id="385" w:name="_Toc150509296"/>
      <w:r/>
      <w:bookmarkStart w:id="386" w:name="_Toc305158887"/>
      <w:r/>
      <w:bookmarkStart w:id="387" w:name="_Toc264969235"/>
      <w:r/>
      <w:bookmarkStart w:id="388" w:name="_Toc150774750"/>
      <w:r/>
      <w:bookmarkStart w:id="389" w:name="_Toc305158813"/>
      <w:r/>
      <w:bookmarkStart w:id="390" w:name="_Toc265228383"/>
      <w:r/>
      <w:bookmarkStart w:id="391" w:name="_Toc150774645"/>
      <w:r/>
      <w:bookmarkStart w:id="392" w:name="_Toc226337241"/>
      <w:r/>
      <w:bookmarkStart w:id="393" w:name="_Toc127151545"/>
      <w:r/>
      <w:bookmarkStart w:id="394" w:name="_Toc226309789"/>
      <w:r/>
      <w:bookmarkStart w:id="395" w:name="_Toc150480783"/>
      <w:r/>
      <w:bookmarkStart w:id="396" w:name="_Toc151193933"/>
      <w:r/>
      <w:bookmarkStart w:id="397" w:name="_Toc151193859"/>
      <w:r/>
      <w:bookmarkStart w:id="398" w:name="_Toc151190172"/>
      <w:r/>
      <w:bookmarkStart w:id="399" w:name="_Toc195842910"/>
      <w:r/>
      <w:bookmarkStart w:id="400" w:name="_Toc226965818"/>
      <w:r/>
      <w:bookmarkStart w:id="401" w:name="_Toc151193787"/>
      <w:r/>
      <w:bookmarkStart w:id="402" w:name="_Toc142311047"/>
      <w:r/>
      <w:bookmarkStart w:id="403" w:name="_Toc151193715"/>
      <w:r/>
      <w:bookmarkStart w:id="404" w:name="_Toc151193643"/>
      <w:r/>
      <w:bookmarkStart w:id="405" w:name="_Toc226965735"/>
      <w:r>
        <w:rPr>
          <w:rFonts w:hint="eastAsia" w:ascii="宋体" w:hAnsi="宋体" w:cs="宋体"/>
          <w:b/>
          <w:sz w:val="28"/>
          <w:szCs w:val="28"/>
        </w:rPr>
        <w:t xml:space="preserve">六</w:t>
      </w:r>
      <w:bookmarkEnd w:id="384"/>
      <w:r>
        <w:rPr>
          <w:rFonts w:hint="eastAsia" w:ascii="宋体" w:hAnsi="宋体" w:cs="宋体"/>
          <w:b/>
          <w:sz w:val="28"/>
          <w:szCs w:val="28"/>
        </w:rPr>
        <w:t xml:space="preserve">、确定</w:t>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Pr>
          <w:rFonts w:hint="eastAsia" w:ascii="宋体" w:hAnsi="宋体" w:cs="宋体"/>
          <w:b/>
          <w:sz w:val="28"/>
          <w:szCs w:val="28"/>
        </w:rPr>
        <w:t xml:space="preserve">中标</w:t>
      </w:r>
      <w:r/>
    </w:p>
    <w:p>
      <w:pPr>
        <w:pStyle w:val="1068"/>
        <w:numPr>
          <w:ilvl w:val="0"/>
          <w:numId w:val="4"/>
        </w:numPr>
        <w:jc w:val="left"/>
        <w:spacing w:line="360" w:lineRule="auto"/>
        <w:rPr>
          <w:rFonts w:hint="eastAsia" w:ascii="宋体" w:hAnsi="宋体" w:cs="宋体"/>
          <w:sz w:val="24"/>
        </w:rPr>
      </w:pPr>
      <w:r/>
      <w:bookmarkStart w:id="406" w:name="_Toc151193861"/>
      <w:r/>
      <w:bookmarkStart w:id="407" w:name="_Toc195842912"/>
      <w:r/>
      <w:bookmarkStart w:id="408" w:name="_Toc150480785"/>
      <w:r/>
      <w:bookmarkStart w:id="409" w:name="_Toc151193935"/>
      <w:r/>
      <w:bookmarkStart w:id="410" w:name="_Toc164229242"/>
      <w:r/>
      <w:bookmarkStart w:id="411" w:name="_Toc164608816"/>
      <w:r/>
      <w:bookmarkStart w:id="412" w:name="_Toc151190174"/>
      <w:r/>
      <w:bookmarkStart w:id="413" w:name="_Toc305158889"/>
      <w:r/>
      <w:bookmarkStart w:id="414" w:name="_Toc150509298"/>
      <w:r/>
      <w:bookmarkStart w:id="415" w:name="_Toc150774752"/>
      <w:r/>
      <w:bookmarkStart w:id="416" w:name="_Toc149720840"/>
      <w:r/>
      <w:bookmarkStart w:id="417" w:name="_Toc127151547"/>
      <w:r/>
      <w:bookmarkStart w:id="418" w:name="_Toc226337243"/>
      <w:r/>
      <w:bookmarkStart w:id="419" w:name="_Toc127161461"/>
      <w:r/>
      <w:bookmarkStart w:id="420" w:name="_Toc226309791"/>
      <w:r/>
      <w:bookmarkStart w:id="421" w:name="_Toc164351641"/>
      <w:r/>
      <w:bookmarkStart w:id="422" w:name="_Toc151193717"/>
      <w:r/>
      <w:bookmarkStart w:id="423" w:name="_Toc127151748"/>
      <w:r/>
      <w:bookmarkStart w:id="424" w:name="_Toc151193645"/>
      <w:r/>
      <w:bookmarkStart w:id="425" w:name="_Toc142311049"/>
      <w:r/>
      <w:bookmarkStart w:id="426" w:name="_Toc226965820"/>
      <w:r/>
      <w:bookmarkStart w:id="427" w:name="_Toc305158815"/>
      <w:r/>
      <w:bookmarkStart w:id="428" w:name="_Toc226965737"/>
      <w:r/>
      <w:bookmarkStart w:id="429" w:name="_Toc264969237"/>
      <w:r/>
      <w:bookmarkStart w:id="430" w:name="_Toc265228385"/>
      <w:r/>
      <w:bookmarkStart w:id="431" w:name="_Toc150774647"/>
      <w:r/>
      <w:bookmarkStart w:id="432" w:name="_Toc164229388"/>
      <w:r/>
      <w:bookmarkStart w:id="433" w:name="_Toc151193789"/>
      <w:r/>
      <w:bookmarkStart w:id="434" w:name="_Toc164608661"/>
      <w:r>
        <w:rPr>
          <w:rFonts w:hint="eastAsia" w:ascii="宋体" w:hAnsi="宋体" w:cs="宋体"/>
          <w:sz w:val="24"/>
        </w:rPr>
        <w:t xml:space="preserve">确定</w:t>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cs="宋体"/>
          <w:sz w:val="24"/>
        </w:rPr>
        <w:t xml:space="preserve">中标人</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68"/>
        <w:numPr>
          <w:ilvl w:val="0"/>
          <w:numId w:val="4"/>
        </w:numPr>
        <w:jc w:val="left"/>
        <w:spacing w:line="360" w:lineRule="auto"/>
        <w:rPr>
          <w:rFonts w:hint="eastAsia" w:ascii="宋体" w:hAnsi="宋体" w:cs="宋体"/>
          <w:sz w:val="24"/>
        </w:rPr>
      </w:pPr>
      <w:r/>
      <w:bookmarkStart w:id="435" w:name="_Toc305158817"/>
      <w:r/>
      <w:bookmarkStart w:id="436" w:name="_Toc305158891"/>
      <w:r>
        <w:rPr>
          <w:rFonts w:hint="eastAsia" w:ascii="宋体" w:hAnsi="宋体" w:cs="宋体"/>
          <w:sz w:val="24"/>
        </w:rPr>
        <w:t xml:space="preserve">中标公告与中标通知书</w:t>
      </w:r>
      <w:bookmarkEnd w:id="435"/>
      <w:r/>
      <w:bookmarkEnd w:id="436"/>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w:t>
      </w:r>
      <w:r>
        <w:rPr>
          <w:rFonts w:hint="eastAsia" w:ascii="宋体" w:hAnsi="宋体" w:cs="宋体"/>
          <w:sz w:val="24"/>
          <w:szCs w:val="24"/>
        </w:rPr>
        <w:t xml:space="preserve">常州金诚招投标有限公司网</w:t>
      </w:r>
      <w:r>
        <w:rPr>
          <w:rFonts w:hint="eastAsia" w:ascii="宋体" w:hAnsi="宋体" w:cs="宋体"/>
          <w:sz w:val="24"/>
        </w:rPr>
        <w:t xml:space="preserve">公告中标结果</w:t>
      </w:r>
      <w:r>
        <w:rPr>
          <w:rFonts w:hint="eastAsia" w:ascii="宋体" w:hAnsi="宋体" w:cs="宋体"/>
          <w:sz w:val="24"/>
        </w:rPr>
        <w:t xml:space="preserve">，同时向中标人发出中标通知书，中标公告期限为1个工作日。</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废标</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在招标采购中，出现下列情形之一的，应予废标：</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符合专业条件的投标人或者对招标文件作实质响应的投标人不足</w:t>
      </w:r>
      <w:r>
        <w:rPr>
          <w:rFonts w:hint="eastAsia" w:ascii="宋体" w:hAnsi="宋体" w:cs="宋体"/>
          <w:sz w:val="24"/>
        </w:rPr>
        <w:t xml:space="preserve">三家的；</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出现影响采购公正的违法、违规行为的；</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投标人的报价均超过了采购预算，采购人不能支付的</w:t>
      </w:r>
      <w:r>
        <w:rPr>
          <w:rFonts w:hint="eastAsia" w:ascii="宋体" w:hAnsi="宋体" w:cs="宋体"/>
          <w:sz w:val="24"/>
          <w:szCs w:val="20"/>
        </w:rPr>
        <w:t xml:space="preserve">；</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因重大变故，采购任务取消的；</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平台系统出现序号18.8的所述情形，情况严重且影响采购活动公平、公正性的。</w:t>
      </w:r>
      <w:r/>
    </w:p>
    <w:p>
      <w:pPr>
        <w:pStyle w:val="1068"/>
        <w:numPr>
          <w:ilvl w:val="0"/>
          <w:numId w:val="4"/>
        </w:numPr>
        <w:jc w:val="left"/>
        <w:spacing w:line="360" w:lineRule="auto"/>
        <w:rPr>
          <w:rFonts w:hint="eastAsia" w:ascii="宋体" w:hAnsi="宋体" w:cs="宋体"/>
          <w:sz w:val="24"/>
        </w:rPr>
      </w:pPr>
      <w:r/>
      <w:bookmarkStart w:id="437" w:name="_Toc142311052"/>
      <w:r/>
      <w:bookmarkStart w:id="438" w:name="_Toc151190177"/>
      <w:r/>
      <w:bookmarkStart w:id="439" w:name="_Toc127151550"/>
      <w:r/>
      <w:bookmarkStart w:id="440" w:name="_Toc127151751"/>
      <w:r/>
      <w:bookmarkStart w:id="441" w:name="_Ref467307062"/>
      <w:r/>
      <w:bookmarkStart w:id="442" w:name="_Toc195842915"/>
      <w:r/>
      <w:bookmarkStart w:id="443" w:name="_Toc520356175"/>
      <w:r/>
      <w:bookmarkStart w:id="444" w:name="_Toc164229245"/>
      <w:r/>
      <w:bookmarkStart w:id="445" w:name="_Toc164608819"/>
      <w:r/>
      <w:bookmarkStart w:id="446" w:name="_Toc226309794"/>
      <w:r/>
      <w:bookmarkStart w:id="447" w:name="_Toc149720843"/>
      <w:r/>
      <w:bookmarkStart w:id="448" w:name="_Toc151193938"/>
      <w:r/>
      <w:bookmarkStart w:id="449" w:name="_Toc164608664"/>
      <w:r/>
      <w:bookmarkStart w:id="450" w:name="_Ref467306377"/>
      <w:r/>
      <w:bookmarkStart w:id="451" w:name="_Ref467307204"/>
      <w:r/>
      <w:bookmarkStart w:id="452" w:name="_Toc151193864"/>
      <w:r/>
      <w:bookmarkStart w:id="453" w:name="_Toc226965823"/>
      <w:r/>
      <w:bookmarkStart w:id="454" w:name="_Toc226965740"/>
      <w:r/>
      <w:bookmarkStart w:id="455" w:name="_Toc150509301"/>
      <w:r/>
      <w:bookmarkStart w:id="456" w:name="_Toc265228388"/>
      <w:r/>
      <w:bookmarkStart w:id="457" w:name="_Toc150774755"/>
      <w:r/>
      <w:bookmarkStart w:id="458" w:name="_Ref467306978"/>
      <w:r/>
      <w:bookmarkStart w:id="459" w:name="_Toc151193720"/>
      <w:r/>
      <w:bookmarkStart w:id="460" w:name="_Toc264969240"/>
      <w:r/>
      <w:bookmarkStart w:id="461" w:name="_Toc150774650"/>
      <w:r/>
      <w:bookmarkStart w:id="462" w:name="_Toc151193648"/>
      <w:r/>
      <w:bookmarkStart w:id="463" w:name="_Toc151193792"/>
      <w:r/>
      <w:bookmarkStart w:id="464" w:name="_Toc305158818"/>
      <w:r/>
      <w:bookmarkStart w:id="465" w:name="_Toc226337246"/>
      <w:r/>
      <w:bookmarkStart w:id="466" w:name="_Toc150480788"/>
      <w:r/>
      <w:bookmarkStart w:id="467" w:name="_Toc164229391"/>
      <w:r/>
      <w:bookmarkStart w:id="468" w:name="_Toc305158892"/>
      <w:r/>
      <w:bookmarkStart w:id="469" w:name="_Toc127161464"/>
      <w:r/>
      <w:bookmarkStart w:id="470" w:name="_Toc164351644"/>
      <w:r>
        <w:rPr>
          <w:rFonts w:hint="eastAsia" w:ascii="宋体" w:hAnsi="宋体" w:cs="宋体"/>
          <w:sz w:val="24"/>
        </w:rPr>
        <w:t xml:space="preserve">签订合同</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政府采购合同不能转包。</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询问与质疑</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询问</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质疑</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68"/>
        <w:numPr>
          <w:ilvl w:val="2"/>
          <w:numId w:val="4"/>
        </w:numPr>
        <w:jc w:val="left"/>
        <w:spacing w:line="360" w:lineRule="auto"/>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质疑函须使用财政部制定的范本文件。（下载网址：</w:t>
      </w:r>
      <w:hyperlink r:id="rId18" w:tooltip="http://gks.mof.gov.cn/ztztz/zhengfucaigouguanli/201802/t20180201_2804589.htm" w:history="1">
        <w:r>
          <w:rPr>
            <w:rFonts w:hint="eastAsia" w:ascii="宋体" w:hAnsi="宋体" w:cs="宋体"/>
            <w:sz w:val="24"/>
          </w:rPr>
          <w:t xml:space="preserve">http://gk</w:t>
        </w:r>
        <w:bookmarkStart w:id="471" w:name="_Hlt100654014"/>
        <w:r>
          <w:rPr>
            <w:rFonts w:hint="eastAsia" w:ascii="宋体" w:hAnsi="宋体" w:cs="宋体"/>
            <w:sz w:val="24"/>
          </w:rPr>
          <w:t xml:space="preserve">s</w:t>
        </w:r>
        <w:bookmarkEnd w:id="471"/>
        <w:r>
          <w:rPr>
            <w:rFonts w:hint="eastAsia" w:ascii="宋体" w:hAnsi="宋体" w:cs="宋体"/>
            <w:sz w:val="24"/>
          </w:rPr>
          <w:t xml:space="preserve">.m</w:t>
        </w:r>
        <w:bookmarkStart w:id="472" w:name="_Hlt100653994"/>
        <w:bookmarkStart w:id="473" w:name="_Hlt100653993"/>
        <w:r>
          <w:rPr>
            <w:rFonts w:hint="eastAsia" w:ascii="宋体" w:hAnsi="宋体" w:cs="宋体"/>
            <w:sz w:val="24"/>
          </w:rPr>
          <w:t xml:space="preserve">o</w:t>
        </w:r>
        <w:bookmarkStart w:id="474" w:name="_Hlt101169156"/>
        <w:bookmarkEnd w:id="472"/>
        <w:bookmarkEnd w:id="473"/>
        <w:r>
          <w:rPr>
            <w:rFonts w:hint="eastAsia" w:ascii="宋体" w:hAnsi="宋体" w:cs="宋体"/>
            <w:sz w:val="24"/>
          </w:rPr>
          <w:t xml:space="preserve">f</w:t>
        </w:r>
        <w:bookmarkEnd w:id="474"/>
        <w:r>
          <w:rPr>
            <w:rFonts w:hint="eastAsia" w:ascii="宋体" w:hAnsi="宋体" w:cs="宋体"/>
            <w:sz w:val="24"/>
          </w:rPr>
          <w:t xml:space="preserve">.gov.cn/ztztz/zhengfucaigouguanli/201802/t20180201_2804589.htm</w:t>
        </w:r>
      </w:hyperlink>
      <w:r>
        <w:rPr>
          <w:rFonts w:hint="eastAsia" w:ascii="宋体" w:hAnsi="宋体" w:cs="宋体"/>
          <w:sz w:val="24"/>
        </w:rPr>
        <w:t xml:space="preserve">）。</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68"/>
        <w:numPr>
          <w:ilvl w:val="2"/>
          <w:numId w:val="4"/>
        </w:numPr>
        <w:jc w:val="left"/>
        <w:spacing w:line="360" w:lineRule="auto"/>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代理费</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履约保证金</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本项目免收履约保证金。</w:t>
      </w:r>
      <w:r/>
    </w:p>
    <w:p>
      <w:pPr>
        <w:pStyle w:val="1068"/>
        <w:numPr>
          <w:ilvl w:val="0"/>
          <w:numId w:val="4"/>
        </w:numPr>
        <w:jc w:val="left"/>
        <w:spacing w:line="360" w:lineRule="auto"/>
        <w:rPr>
          <w:rFonts w:hint="eastAsia" w:ascii="宋体" w:hAnsi="宋体" w:cs="宋体"/>
          <w:sz w:val="24"/>
        </w:rPr>
      </w:pPr>
      <w:r>
        <w:rPr>
          <w:rFonts w:hint="eastAsia" w:ascii="宋体" w:hAnsi="宋体" w:cs="宋体"/>
          <w:sz w:val="24"/>
        </w:rPr>
        <w:t xml:space="preserve">纸质投标文件</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中标人在签订合同前向代理机构提供</w:t>
      </w:r>
      <w:r>
        <w:rPr>
          <w:rFonts w:hint="eastAsia" w:ascii="宋体" w:hAnsi="宋体" w:cs="宋体"/>
          <w:b/>
          <w:bCs/>
          <w:sz w:val="24"/>
        </w:rPr>
        <w:t xml:space="preserve">正本1套纸质投标文件</w:t>
      </w:r>
      <w:r>
        <w:rPr>
          <w:rFonts w:hint="eastAsia" w:ascii="宋体" w:hAnsi="宋体" w:cs="宋体"/>
          <w:sz w:val="24"/>
        </w:rPr>
        <w:t xml:space="preserve">。</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纸质投标文件需与政府采购系统的投标文件一致，中标人应按照要求签字、盖章。</w:t>
      </w:r>
      <w:r/>
    </w:p>
    <w:p>
      <w:pPr>
        <w:pStyle w:val="1068"/>
        <w:numPr>
          <w:ilvl w:val="1"/>
          <w:numId w:val="4"/>
        </w:numPr>
        <w:jc w:val="left"/>
        <w:spacing w:line="360" w:lineRule="auto"/>
        <w:rPr>
          <w:rFonts w:hint="eastAsia" w:ascii="宋体" w:hAnsi="宋体" w:cs="宋体"/>
          <w:sz w:val="24"/>
        </w:rPr>
      </w:pPr>
      <w:r>
        <w:rPr>
          <w:rFonts w:hint="eastAsia" w:ascii="宋体" w:hAnsi="宋体" w:cs="宋体"/>
          <w:sz w:val="24"/>
        </w:rPr>
        <w:t xml:space="preserve">招标文件所表述（指定）的公章是指法定名称章，不包括合同专用章、业务专用章等印章；盖章是指加盖鲜章。</w:t>
      </w:r>
      <w:r/>
    </w:p>
    <w:p>
      <w:pPr>
        <w:ind w:left="228" w:hanging="228"/>
        <w:jc w:val="left"/>
        <w:spacing w:line="360" w:lineRule="auto"/>
        <w:rPr>
          <w:rFonts w:hint="eastAsia" w:ascii="宋体"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rPr>
      </w:r>
      <w:r/>
    </w:p>
    <w:p>
      <w:pPr>
        <w:pStyle w:val="1020"/>
        <w:ind w:left="343" w:hanging="343"/>
        <w:rPr>
          <w:rFonts w:hint="eastAsia" w:ascii="宋体" w:hAnsi="宋体" w:cs="宋体"/>
        </w:rPr>
      </w:pPr>
      <w:r/>
      <w:bookmarkStart w:id="475" w:name="_Toc22629"/>
      <w:r/>
      <w:bookmarkStart w:id="476" w:name="_Toc18028"/>
      <w:r/>
      <w:bookmarkStart w:id="477" w:name="_Toc30622"/>
      <w:r/>
      <w:bookmarkStart w:id="478" w:name="_Toc104818927"/>
      <w:r>
        <w:rPr>
          <w:rFonts w:hint="eastAsia" w:ascii="宋体" w:hAnsi="宋体" w:cs="宋体"/>
        </w:rPr>
        <w:t xml:space="preserve">第三章 资格审查</w:t>
      </w:r>
      <w:bookmarkEnd w:id="475"/>
      <w:r/>
      <w:bookmarkEnd w:id="476"/>
      <w:r/>
      <w:bookmarkEnd w:id="477"/>
      <w:r/>
      <w:r/>
    </w:p>
    <w:p>
      <w:pPr>
        <w:ind w:left="229" w:hanging="229"/>
        <w:jc w:val="center"/>
        <w:spacing w:line="360" w:lineRule="auto"/>
        <w:rPr>
          <w:rFonts w:hint="eastAsia" w:ascii="宋体" w:hAnsi="宋体" w:cs="宋体"/>
          <w:b/>
          <w:sz w:val="24"/>
          <w:szCs w:val="24"/>
        </w:rPr>
      </w:pPr>
      <w:r/>
      <w:bookmarkStart w:id="479" w:name="_Toc99301422"/>
      <w:r>
        <w:rPr>
          <w:rFonts w:hint="eastAsia" w:ascii="宋体" w:hAnsi="宋体" w:cs="宋体"/>
          <w:b/>
          <w:sz w:val="24"/>
          <w:szCs w:val="24"/>
        </w:rPr>
        <w:t xml:space="preserve">一、资格审查程序</w:t>
      </w:r>
      <w:bookmarkEnd w:id="479"/>
      <w:r/>
      <w:r/>
    </w:p>
    <w:p>
      <w:pPr>
        <w:pStyle w:val="1068"/>
        <w:numPr>
          <w:ilvl w:val="0"/>
          <w:numId w:val="5"/>
        </w:numPr>
        <w:spacing w:line="360" w:lineRule="auto"/>
        <w:rPr>
          <w:rFonts w:hint="eastAsia" w:ascii="宋体" w:hAnsi="宋体" w:cs="宋体"/>
          <w:sz w:val="24"/>
          <w:szCs w:val="24"/>
        </w:rPr>
      </w:pPr>
      <w:r>
        <w:rPr>
          <w:rFonts w:hint="eastAsia" w:ascii="宋体" w:hAnsi="宋体" w:cs="宋体"/>
          <w:sz w:val="24"/>
        </w:rPr>
        <w:t xml:space="preserve">开标结束后，采购人将根据《资格审查要求》中的规定，对投标人进行资格审查，并形成资格审查结果</w:t>
      </w:r>
      <w:r>
        <w:rPr>
          <w:rFonts w:hint="eastAsia" w:ascii="宋体" w:hAnsi="宋体" w:cs="宋体"/>
          <w:sz w:val="24"/>
          <w:szCs w:val="24"/>
        </w:rPr>
        <w:t xml:space="preserve">。</w:t>
      </w:r>
      <w:r/>
    </w:p>
    <w:p>
      <w:pPr>
        <w:pStyle w:val="1068"/>
        <w:numPr>
          <w:ilvl w:val="0"/>
          <w:numId w:val="5"/>
        </w:numPr>
        <w:spacing w:line="360" w:lineRule="auto"/>
        <w:rPr>
          <w:rFonts w:hint="eastAsia" w:ascii="宋体" w:hAnsi="宋体" w:cs="宋体"/>
          <w:sz w:val="24"/>
          <w:szCs w:val="24"/>
        </w:rPr>
      </w:pPr>
      <w:r>
        <w:rPr>
          <w:rFonts w:hint="eastAsia" w:ascii="宋体" w:hAnsi="宋体" w:cs="宋体"/>
          <w:sz w:val="24"/>
        </w:rPr>
        <w:t xml:space="preserve">《资格审查要求》中对格式有要求的，除招标文件另有规定外，均为“实质性格式”文件</w:t>
      </w:r>
      <w:r>
        <w:rPr>
          <w:rFonts w:hint="eastAsia" w:ascii="宋体" w:hAnsi="宋体" w:cs="宋体"/>
          <w:sz w:val="24"/>
          <w:szCs w:val="24"/>
        </w:rPr>
        <w:t xml:space="preserve">。</w:t>
      </w:r>
      <w:r/>
    </w:p>
    <w:p>
      <w:pPr>
        <w:pStyle w:val="1068"/>
        <w:numPr>
          <w:ilvl w:val="0"/>
          <w:numId w:val="5"/>
        </w:numPr>
        <w:spacing w:line="360" w:lineRule="auto"/>
        <w:rPr>
          <w:rFonts w:hint="eastAsia" w:ascii="宋体" w:hAnsi="宋体" w:cs="宋体"/>
          <w:sz w:val="24"/>
          <w:szCs w:val="24"/>
        </w:rPr>
      </w:pPr>
      <w:r>
        <w:rPr>
          <w:rFonts w:hint="eastAsia" w:ascii="宋体" w:hAnsi="宋体" w:cs="宋体"/>
          <w:sz w:val="24"/>
          <w:szCs w:val="24"/>
        </w:rPr>
        <w:t xml:space="preserve">投标人《资格证明文件》有任何一项不符合《资格审查要求》的，资格审查不合格，其投标无效。</w:t>
      </w:r>
      <w:r/>
    </w:p>
    <w:p>
      <w:pPr>
        <w:pStyle w:val="1068"/>
        <w:numPr>
          <w:ilvl w:val="0"/>
          <w:numId w:val="5"/>
        </w:numPr>
        <w:spacing w:line="360" w:lineRule="auto"/>
        <w:rPr>
          <w:rFonts w:hint="eastAsia" w:ascii="宋体" w:hAnsi="宋体" w:cs="宋体"/>
          <w:sz w:val="24"/>
          <w:szCs w:val="24"/>
        </w:rPr>
      </w:pPr>
      <w:r>
        <w:rPr>
          <w:rFonts w:hint="eastAsia" w:ascii="宋体" w:hAnsi="宋体" w:cs="宋体"/>
          <w:sz w:val="24"/>
          <w:szCs w:val="24"/>
        </w:rPr>
        <w:t xml:space="preserve">资格审查合格的投标人不足3家的，不进行评标。</w:t>
      </w:r>
      <w:r/>
    </w:p>
    <w:p>
      <w:pPr>
        <w:ind w:left="229" w:hanging="229"/>
        <w:jc w:val="center"/>
        <w:spacing w:line="360" w:lineRule="auto"/>
        <w:rPr>
          <w:rFonts w:hint="eastAsia" w:ascii="宋体" w:hAnsi="宋体" w:cs="宋体"/>
          <w:b/>
          <w:sz w:val="24"/>
          <w:szCs w:val="24"/>
        </w:rPr>
      </w:pPr>
      <w:r>
        <w:rPr>
          <w:rFonts w:hint="eastAsia" w:ascii="宋体" w:hAnsi="宋体" w:cs="宋体"/>
          <w:b/>
          <w:sz w:val="24"/>
          <w:szCs w:val="24"/>
        </w:rPr>
        <w:t xml:space="preserve">二、资格审查要求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序号</w:t>
            </w:r>
            <w:r/>
          </w:p>
        </w:tc>
        <w:tc>
          <w:tcPr>
            <w:tcW w:w="1189"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审查因素</w:t>
            </w:r>
            <w:r/>
          </w:p>
        </w:tc>
        <w:tc>
          <w:tcPr>
            <w:tcW w:w="2329"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审查内容</w:t>
            </w:r>
            <w:r/>
          </w:p>
        </w:tc>
        <w:tc>
          <w:tcPr>
            <w:tcW w:w="102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格式要求</w:t>
            </w:r>
            <w:r/>
          </w:p>
        </w:tc>
      </w:tr>
      <w:tr>
        <w:trPr>
          <w:jc w:val="center"/>
          <w:trHeight w:val="468"/>
        </w:trPr>
        <w:tc>
          <w:tcPr>
            <w:tcW w:w="454"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w:t>
            </w:r>
            <w:r/>
          </w:p>
        </w:tc>
        <w:tc>
          <w:tcPr>
            <w:tcW w:w="118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p>
        </w:tc>
        <w:tc>
          <w:tcPr>
            <w:tcW w:w="232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具体规定见第一章《投标邀请》</w:t>
            </w:r>
            <w:r/>
          </w:p>
        </w:tc>
        <w:tc>
          <w:tcPr>
            <w:tcW w:w="1025"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r>
            <w:r/>
          </w:p>
        </w:tc>
      </w:tr>
      <w:tr>
        <w:trPr>
          <w:jc w:val="center"/>
          <w:trHeight w:val="468"/>
        </w:trPr>
        <w:tc>
          <w:tcPr>
            <w:tcW w:w="454"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1-1</w:t>
            </w:r>
            <w:r/>
          </w:p>
        </w:tc>
        <w:tc>
          <w:tcPr>
            <w:tcW w:w="118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投标人资格声明函</w:t>
            </w:r>
            <w:r/>
          </w:p>
        </w:tc>
        <w:tc>
          <w:tcPr>
            <w:tcW w:w="232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提供了符合招标文件要求的《投标人资格声明函》</w:t>
            </w:r>
            <w:r/>
          </w:p>
        </w:tc>
        <w:tc>
          <w:tcPr>
            <w:tcW w:w="102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格式见《投标文件格式》</w:t>
            </w:r>
            <w:r/>
          </w:p>
        </w:tc>
      </w:tr>
      <w:tr>
        <w:trPr>
          <w:jc w:val="center"/>
          <w:trHeight w:val="468"/>
        </w:trPr>
        <w:tc>
          <w:tcPr>
            <w:tcW w:w="454"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1-2</w:t>
            </w:r>
            <w:r/>
          </w:p>
        </w:tc>
        <w:tc>
          <w:tcPr>
            <w:tcW w:w="118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投标人营业执照</w:t>
            </w:r>
            <w:r/>
          </w:p>
        </w:tc>
        <w:tc>
          <w:tcPr>
            <w:tcW w:w="232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法人或者其他组织提供营业执照等证明文件，自然人提供营业执照（如有）及身份证明（双面）</w:t>
            </w:r>
            <w:r/>
          </w:p>
        </w:tc>
        <w:tc>
          <w:tcPr>
            <w:tcW w:w="102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提供扫描件加盖公章</w:t>
            </w:r>
            <w:r/>
          </w:p>
        </w:tc>
      </w:tr>
      <w:tr>
        <w:trPr>
          <w:jc w:val="center"/>
          <w:trHeight w:val="468"/>
        </w:trPr>
        <w:tc>
          <w:tcPr>
            <w:tcW w:w="454"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1-3</w:t>
            </w:r>
            <w:r/>
          </w:p>
        </w:tc>
        <w:tc>
          <w:tcPr>
            <w:tcW w:w="118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投标人信用记录</w:t>
            </w:r>
            <w:r/>
          </w:p>
        </w:tc>
        <w:tc>
          <w:tcPr>
            <w:tcW w:w="2329" w:type="pct"/>
            <w:vAlign w:val="center"/>
            <w:textDirection w:val="lrTb"/>
            <w:noWrap w:val="false"/>
          </w:tcPr>
          <w:p>
            <w:pPr>
              <w:ind w:left="199" w:hanging="199"/>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p>
          <w:p>
            <w:pPr>
              <w:ind w:left="199" w:hanging="199"/>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p>
          <w:p>
            <w:pPr>
              <w:ind w:left="199" w:hanging="199"/>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p>
          <w:p>
            <w:pPr>
              <w:ind w:left="199" w:hanging="199"/>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1025" w:type="pct"/>
            <w:vAlign w:val="center"/>
            <w:textDirection w:val="lrTb"/>
            <w:noWrap w:val="false"/>
          </w:tcPr>
          <w:p>
            <w:pPr>
              <w:ind w:left="199" w:hanging="199"/>
              <w:jc w:val="center"/>
              <w:rPr>
                <w:rFonts w:hint="eastAsia" w:ascii="宋体" w:hAnsi="宋体" w:cs="宋体"/>
                <w:szCs w:val="21"/>
              </w:rPr>
            </w:pPr>
            <w:r>
              <w:rPr>
                <w:rFonts w:hint="eastAsia" w:ascii="宋体" w:hAnsi="宋体" w:cs="宋体"/>
                <w:szCs w:val="21"/>
              </w:rPr>
              <w:t xml:space="preserve">无须投标人提供，由采购代理机构查询。</w:t>
            </w:r>
            <w:r/>
          </w:p>
        </w:tc>
      </w:tr>
      <w:tr>
        <w:trPr>
          <w:jc w:val="center"/>
          <w:trHeight w:val="468"/>
        </w:trPr>
        <w:tc>
          <w:tcPr>
            <w:tcW w:w="454" w:type="pct"/>
            <w:vAlign w:val="center"/>
            <w:textDirection w:val="lrTb"/>
            <w:noWrap w:val="false"/>
          </w:tcPr>
          <w:p>
            <w:pPr>
              <w:ind w:left="199" w:hanging="199"/>
              <w:jc w:val="center"/>
              <w:rPr>
                <w:rFonts w:hint="eastAsia" w:ascii="宋体" w:hAnsi="宋体"/>
                <w:szCs w:val="21"/>
              </w:rPr>
            </w:pPr>
            <w:r>
              <w:rPr>
                <w:rFonts w:hint="eastAsia" w:asciiTheme="minorEastAsia" w:hAnsiTheme="minorEastAsia"/>
                <w:szCs w:val="21"/>
              </w:rPr>
              <w:t xml:space="preserve">2</w:t>
            </w:r>
            <w:r/>
          </w:p>
        </w:tc>
        <w:tc>
          <w:tcPr>
            <w:tcW w:w="1189" w:type="pct"/>
            <w:vAlign w:val="center"/>
            <w:textDirection w:val="lrTb"/>
            <w:noWrap w:val="false"/>
          </w:tcPr>
          <w:p>
            <w:pPr>
              <w:ind w:left="199" w:hanging="199"/>
              <w:rPr>
                <w:rFonts w:hint="eastAsia" w:ascii="宋体" w:hAnsi="宋体"/>
                <w:szCs w:val="21"/>
              </w:rPr>
            </w:pPr>
            <w:r>
              <w:rPr>
                <w:szCs w:val="21"/>
              </w:rPr>
              <w:t xml:space="preserve">落实政府采购政策</w:t>
            </w:r>
            <w:r>
              <w:rPr>
                <w:szCs w:val="21"/>
              </w:rPr>
              <w:t xml:space="preserve">需满足的资格要求</w:t>
            </w:r>
            <w:r/>
          </w:p>
        </w:tc>
        <w:tc>
          <w:tcPr>
            <w:tcW w:w="2329" w:type="pct"/>
            <w:vAlign w:val="center"/>
            <w:textDirection w:val="lrTb"/>
            <w:noWrap w:val="false"/>
          </w:tcPr>
          <w:p>
            <w:pPr>
              <w:ind w:left="199" w:hanging="199"/>
              <w:jc w:val="left"/>
              <w:rPr>
                <w:rFonts w:hint="eastAsia" w:ascii="宋体" w:hAnsi="宋体"/>
                <w:szCs w:val="21"/>
              </w:rPr>
            </w:pPr>
            <w:r>
              <w:rPr>
                <w:szCs w:val="21"/>
              </w:rPr>
              <w:t xml:space="preserve">具体要求见第一章《采购邀请》</w:t>
            </w:r>
            <w:r/>
          </w:p>
        </w:tc>
        <w:tc>
          <w:tcPr>
            <w:tcW w:w="1025" w:type="pct"/>
            <w:vAlign w:val="center"/>
            <w:textDirection w:val="lrTb"/>
            <w:noWrap w:val="false"/>
          </w:tcPr>
          <w:p>
            <w:pPr>
              <w:ind w:left="199" w:hanging="199"/>
              <w:jc w:val="center"/>
              <w:rPr>
                <w:rFonts w:hint="eastAsia" w:ascii="宋体" w:hAnsi="宋体"/>
                <w:szCs w:val="21"/>
              </w:rPr>
            </w:pPr>
            <w:r>
              <w:rPr>
                <w:rFonts w:hint="eastAsia" w:ascii="宋体" w:hAnsi="宋体"/>
                <w:szCs w:val="21"/>
              </w:rPr>
            </w:r>
            <w:r/>
          </w:p>
        </w:tc>
      </w:tr>
      <w:tr>
        <w:trPr>
          <w:jc w:val="center"/>
          <w:trHeight w:val="468"/>
        </w:trPr>
        <w:tc>
          <w:tcPr>
            <w:tcW w:w="454" w:type="pct"/>
            <w:vAlign w:val="center"/>
            <w:textDirection w:val="lrTb"/>
            <w:noWrap w:val="false"/>
          </w:tcPr>
          <w:p>
            <w:pPr>
              <w:ind w:left="199" w:hanging="199"/>
              <w:jc w:val="center"/>
              <w:rPr>
                <w:rFonts w:hint="eastAsia" w:ascii="宋体" w:hAnsi="宋体"/>
                <w:szCs w:val="21"/>
              </w:rPr>
            </w:pPr>
            <w:r>
              <w:rPr>
                <w:rFonts w:hint="eastAsia" w:asciiTheme="minorEastAsia" w:hAnsiTheme="minorEastAsia"/>
                <w:szCs w:val="21"/>
              </w:rPr>
              <w:t xml:space="preserve">2-1</w:t>
            </w:r>
            <w:r/>
          </w:p>
        </w:tc>
        <w:tc>
          <w:tcPr>
            <w:tcW w:w="1189" w:type="pct"/>
            <w:vAlign w:val="center"/>
            <w:textDirection w:val="lrTb"/>
            <w:noWrap w:val="false"/>
          </w:tcPr>
          <w:p>
            <w:pPr>
              <w:ind w:left="199" w:hanging="199"/>
              <w:rPr>
                <w:rFonts w:hint="eastAsia" w:ascii="宋体" w:hAnsi="宋体"/>
                <w:szCs w:val="21"/>
              </w:rPr>
            </w:pPr>
            <w:r>
              <w:rPr>
                <w:szCs w:val="21"/>
              </w:rPr>
              <w:t xml:space="preserve">中小企业声明函</w:t>
            </w:r>
            <w:r/>
          </w:p>
        </w:tc>
        <w:tc>
          <w:tcPr>
            <w:tcW w:w="2329" w:type="pct"/>
            <w:vAlign w:val="center"/>
            <w:textDirection w:val="lrTb"/>
            <w:noWrap w:val="false"/>
          </w:tcPr>
          <w:p>
            <w:pPr>
              <w:jc w:val="left"/>
              <w:tabs>
                <w:tab w:val="left" w:pos="900" w:leader="none"/>
                <w:tab w:val="left" w:pos="1980" w:leader="none"/>
              </w:tabs>
              <w:rPr>
                <w:szCs w:val="21"/>
              </w:rPr>
            </w:pPr>
            <w:r>
              <w:rPr>
                <w:rFonts w:hint="eastAsia"/>
                <w:szCs w:val="21"/>
              </w:rPr>
              <w:t xml:space="preserve">1</w:t>
            </w:r>
            <w:r>
              <w:rPr>
                <w:rFonts w:hint="eastAsia"/>
                <w:szCs w:val="21"/>
              </w:rPr>
              <w:t xml:space="preserve">、供应商单独参与投标的，应提供中小企业声明函；如为监狱企业或残疾人福利性单位，不必提供中小企业声明函，但须按注</w:t>
            </w:r>
            <w:r>
              <w:rPr>
                <w:rFonts w:hint="eastAsia"/>
                <w:szCs w:val="21"/>
              </w:rPr>
              <w:t xml:space="preserve">1</w:t>
            </w:r>
            <w:r>
              <w:rPr>
                <w:rFonts w:hint="eastAsia"/>
                <w:szCs w:val="21"/>
              </w:rPr>
              <w:t xml:space="preserve">或注</w:t>
            </w:r>
            <w:r>
              <w:rPr>
                <w:rFonts w:hint="eastAsia"/>
                <w:szCs w:val="21"/>
              </w:rPr>
              <w:t xml:space="preserve">2</w:t>
            </w:r>
            <w:r>
              <w:rPr>
                <w:rFonts w:hint="eastAsia"/>
                <w:szCs w:val="21"/>
              </w:rPr>
              <w:t xml:space="preserve">要求提供证明材料。</w:t>
            </w:r>
            <w:r/>
          </w:p>
          <w:p>
            <w:pPr>
              <w:jc w:val="left"/>
              <w:tabs>
                <w:tab w:val="left" w:pos="900" w:leader="none"/>
                <w:tab w:val="left" w:pos="1980" w:leader="none"/>
              </w:tabs>
              <w:rPr>
                <w:szCs w:val="21"/>
              </w:rPr>
            </w:pPr>
            <w:r>
              <w:rPr>
                <w:rFonts w:hint="eastAsia"/>
                <w:szCs w:val="21"/>
              </w:rPr>
              <w:t xml:space="preserve">2</w:t>
            </w:r>
            <w:r>
              <w:rPr>
                <w:rFonts w:hint="eastAsia"/>
                <w:szCs w:val="21"/>
              </w:rPr>
              <w:t xml:space="preserve">、如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hint="eastAsia"/>
                <w:szCs w:val="21"/>
              </w:rPr>
              <w:t xml:space="preserve">1</w:t>
            </w:r>
            <w:r>
              <w:rPr>
                <w:rFonts w:hint="eastAsia"/>
                <w:szCs w:val="21"/>
              </w:rPr>
              <w:t xml:space="preserve">或注</w:t>
            </w:r>
            <w:r>
              <w:rPr>
                <w:rFonts w:hint="eastAsia"/>
                <w:szCs w:val="21"/>
              </w:rPr>
              <w:t xml:space="preserve">2</w:t>
            </w:r>
            <w:r>
              <w:rPr>
                <w:rFonts w:hint="eastAsia"/>
                <w:szCs w:val="21"/>
              </w:rPr>
              <w:t xml:space="preserve">要求提供证明材料。</w:t>
            </w:r>
            <w:r/>
          </w:p>
          <w:p>
            <w:pPr>
              <w:jc w:val="left"/>
              <w:tabs>
                <w:tab w:val="left" w:pos="900" w:leader="none"/>
                <w:tab w:val="left" w:pos="1980" w:leader="none"/>
              </w:tabs>
              <w:rPr>
                <w:szCs w:val="21"/>
              </w:rPr>
            </w:pPr>
            <w:r>
              <w:rPr>
                <w:rFonts w:hint="eastAsia"/>
                <w:szCs w:val="21"/>
              </w:rPr>
              <w:t xml:space="preserve">注</w:t>
            </w:r>
            <w:r>
              <w:rPr>
                <w:rFonts w:hint="eastAsia"/>
                <w:szCs w:val="21"/>
              </w:rPr>
              <w:t xml:space="preserve">1</w:t>
            </w:r>
            <w:r>
              <w:rPr>
                <w:rFonts w:hint="eastAsia"/>
                <w:szCs w:val="21"/>
              </w:rPr>
              <w:t xml:space="preserve">：监狱企业须提供由省级以上监狱管理局（常州市含教育矫治局）、戒毒管理局（含新疆生产建设兵团）出具的属于监狱企业的证明文件。</w:t>
            </w:r>
            <w:r/>
          </w:p>
          <w:p>
            <w:pPr>
              <w:ind w:left="199" w:hanging="199"/>
              <w:jc w:val="left"/>
              <w:rPr>
                <w:rFonts w:hint="eastAsia" w:ascii="宋体" w:hAnsi="宋体"/>
                <w:szCs w:val="21"/>
              </w:rPr>
            </w:pPr>
            <w:r>
              <w:rPr>
                <w:rFonts w:hint="eastAsia"/>
                <w:szCs w:val="21"/>
              </w:rPr>
              <w:t xml:space="preserve">注</w:t>
            </w:r>
            <w:r>
              <w:rPr>
                <w:rFonts w:hint="eastAsia"/>
                <w:szCs w:val="21"/>
              </w:rPr>
              <w:t xml:space="preserve">2</w:t>
            </w:r>
            <w:r>
              <w:rPr>
                <w:rFonts w:hint="eastAsia"/>
                <w:szCs w:val="21"/>
              </w:rPr>
              <w:t xml:space="preserve">：残疾人福利性单位须按采购文件要求提供《残疾人福利性单位声明函》。</w:t>
            </w:r>
            <w:r/>
          </w:p>
        </w:tc>
        <w:tc>
          <w:tcPr>
            <w:tcW w:w="1025" w:type="pct"/>
            <w:vAlign w:val="center"/>
            <w:textDirection w:val="lrTb"/>
            <w:noWrap w:val="false"/>
          </w:tcPr>
          <w:p>
            <w:pPr>
              <w:ind w:left="199" w:hanging="199"/>
              <w:jc w:val="center"/>
              <w:rPr>
                <w:rFonts w:hint="eastAsia" w:ascii="宋体" w:hAnsi="宋体"/>
                <w:szCs w:val="21"/>
              </w:rPr>
            </w:pPr>
            <w:r>
              <w:rPr>
                <w:szCs w:val="21"/>
              </w:rPr>
              <w:t xml:space="preserve">格式见《响应文件格式》</w:t>
            </w:r>
            <w:r/>
          </w:p>
        </w:tc>
      </w:tr>
    </w:tbl>
    <w:p>
      <w:pPr>
        <w:pStyle w:val="1020"/>
        <w:ind w:left="343" w:hanging="343"/>
        <w:rPr>
          <w:rFonts w:hint="eastAsia" w:ascii="宋体" w:hAnsi="宋体" w:cs="宋体"/>
        </w:rPr>
      </w:pPr>
      <w:r>
        <w:rPr>
          <w:rFonts w:hint="eastAsia" w:ascii="宋体" w:hAnsi="宋体" w:cs="宋体"/>
          <w:sz w:val="24"/>
        </w:rPr>
        <w:br w:type="page" w:clear="all"/>
      </w:r>
      <w:bookmarkStart w:id="480" w:name="_Toc18207"/>
      <w:r/>
      <w:bookmarkStart w:id="481" w:name="_Toc9853"/>
      <w:r/>
      <w:bookmarkStart w:id="482" w:name="_Toc21485"/>
      <w:r>
        <w:rPr>
          <w:rFonts w:hint="eastAsia" w:ascii="宋体" w:hAnsi="宋体" w:cs="宋体"/>
        </w:rPr>
        <w:t xml:space="preserve">第四章 评标程序、评标方法和评标标准</w:t>
      </w:r>
      <w:bookmarkEnd w:id="478"/>
      <w:r/>
      <w:bookmarkEnd w:id="480"/>
      <w:r/>
      <w:bookmarkEnd w:id="481"/>
      <w:r/>
      <w:bookmarkEnd w:id="482"/>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一、评标程序</w:t>
      </w:r>
      <w:r/>
    </w:p>
    <w:p>
      <w:pPr>
        <w:pStyle w:val="1068"/>
        <w:numPr>
          <w:ilvl w:val="0"/>
          <w:numId w:val="6"/>
        </w:numPr>
        <w:jc w:val="left"/>
        <w:spacing w:line="360" w:lineRule="auto"/>
        <w:rPr>
          <w:rFonts w:hint="eastAsia" w:ascii="宋体" w:hAnsi="宋体" w:cs="宋体"/>
          <w:sz w:val="24"/>
        </w:rPr>
      </w:pPr>
      <w:r/>
      <w:bookmarkStart w:id="483" w:name="_Toc265228379"/>
      <w:r/>
      <w:bookmarkStart w:id="484" w:name="_Toc150774641"/>
      <w:r/>
      <w:bookmarkStart w:id="485" w:name="_Toc226337237"/>
      <w:r/>
      <w:bookmarkStart w:id="486" w:name="_Toc164229236"/>
      <w:r/>
      <w:bookmarkStart w:id="487" w:name="_Toc142311043"/>
      <w:r/>
      <w:bookmarkStart w:id="488" w:name="_Toc164608810"/>
      <w:r/>
      <w:bookmarkStart w:id="489" w:name="_Toc264969231"/>
      <w:r/>
      <w:bookmarkStart w:id="490" w:name="_Toc164229382"/>
      <w:r/>
      <w:bookmarkStart w:id="491" w:name="_Toc127151541"/>
      <w:r/>
      <w:bookmarkStart w:id="492" w:name="_Toc151193929"/>
      <w:r/>
      <w:bookmarkStart w:id="493" w:name="_Toc226965814"/>
      <w:r/>
      <w:bookmarkStart w:id="494" w:name="_Toc150480779"/>
      <w:r/>
      <w:bookmarkStart w:id="495" w:name="_Toc150509292"/>
      <w:r/>
      <w:bookmarkStart w:id="496" w:name="_Toc151193639"/>
      <w:r/>
      <w:bookmarkStart w:id="497" w:name="_Toc164351635"/>
      <w:r/>
      <w:bookmarkStart w:id="498" w:name="_Toc151190168"/>
      <w:r/>
      <w:bookmarkStart w:id="499" w:name="_Toc226309785"/>
      <w:r/>
      <w:bookmarkStart w:id="500" w:name="_Toc150774746"/>
      <w:r/>
      <w:bookmarkStart w:id="501" w:name="_Toc127161455"/>
      <w:r/>
      <w:bookmarkStart w:id="502" w:name="_Toc151193783"/>
      <w:r/>
      <w:bookmarkStart w:id="503" w:name="_Toc127151742"/>
      <w:r/>
      <w:bookmarkStart w:id="504" w:name="_Toc149720834"/>
      <w:r/>
      <w:bookmarkStart w:id="505" w:name="_Toc305158883"/>
      <w:r/>
      <w:bookmarkStart w:id="506" w:name="_Toc305158809"/>
      <w:r/>
      <w:bookmarkStart w:id="507" w:name="_Toc164608655"/>
      <w:r/>
      <w:bookmarkStart w:id="508" w:name="_Toc151193855"/>
      <w:r/>
      <w:bookmarkStart w:id="509" w:name="_Toc226965731"/>
      <w:r/>
      <w:bookmarkStart w:id="510" w:name="_Toc195842906"/>
      <w:r/>
      <w:bookmarkStart w:id="511" w:name="_Toc151193711"/>
      <w:r>
        <w:rPr>
          <w:rFonts w:hint="eastAsia" w:ascii="宋体" w:hAnsi="宋体" w:cs="宋体"/>
          <w:sz w:val="24"/>
        </w:rPr>
        <w:t xml:space="preserve">投标文件的符合性审查</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cs="宋体"/>
          <w:b/>
          <w:sz w:val="24"/>
        </w:rPr>
        <w:t xml:space="preserve">投标无效</w:t>
      </w:r>
      <w:r>
        <w:rPr>
          <w:rFonts w:hint="eastAsia" w:ascii="宋体" w:hAnsi="宋体" w:cs="宋体"/>
          <w:sz w:val="24"/>
        </w:rPr>
        <w:t xml:space="preserve">。</w:t>
      </w:r>
      <w:r/>
    </w:p>
    <w:p>
      <w:pPr>
        <w:ind w:left="200" w:hanging="200"/>
        <w:jc w:val="center"/>
        <w:spacing w:line="360" w:lineRule="auto"/>
        <w:rPr>
          <w:rFonts w:hint="eastAsia" w:ascii="宋体" w:hAnsi="宋体" w:cs="宋体"/>
          <w:b/>
          <w:szCs w:val="21"/>
        </w:rPr>
      </w:pPr>
      <w:r>
        <w:rPr>
          <w:rFonts w:hint="eastAsia" w:ascii="宋体" w:hAnsi="宋体" w:cs="宋体"/>
          <w:b/>
          <w:szCs w:val="21"/>
        </w:rPr>
        <w:t xml:space="preserve">符合性审查要求</w:t>
      </w: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ind w:left="200" w:hanging="200"/>
              <w:jc w:val="center"/>
              <w:widowControl/>
              <w:rPr>
                <w:rFonts w:hint="eastAsia" w:ascii="宋体" w:hAnsi="宋体" w:cs="宋体"/>
                <w:b/>
                <w:szCs w:val="21"/>
              </w:rPr>
            </w:pPr>
            <w:r>
              <w:rPr>
                <w:rFonts w:hint="eastAsia" w:ascii="宋体" w:hAnsi="宋体" w:cs="宋体"/>
                <w:b/>
                <w:szCs w:val="21"/>
              </w:rPr>
              <w:t xml:space="preserve">序号</w:t>
            </w:r>
            <w:r/>
          </w:p>
        </w:tc>
        <w:tc>
          <w:tcPr>
            <w:tcW w:w="1813" w:type="dxa"/>
            <w:vAlign w:val="center"/>
            <w:textDirection w:val="lrTb"/>
            <w:noWrap w:val="false"/>
          </w:tcPr>
          <w:p>
            <w:pPr>
              <w:ind w:left="200" w:hanging="200"/>
              <w:jc w:val="center"/>
              <w:widowControl/>
              <w:rPr>
                <w:rFonts w:hint="eastAsia" w:ascii="宋体" w:hAnsi="宋体" w:cs="宋体"/>
                <w:b/>
                <w:szCs w:val="21"/>
              </w:rPr>
            </w:pPr>
            <w:r>
              <w:rPr>
                <w:rFonts w:hint="eastAsia" w:ascii="宋体" w:hAnsi="宋体" w:cs="宋体"/>
                <w:b/>
                <w:szCs w:val="21"/>
              </w:rPr>
              <w:t xml:space="preserve">审查因素</w:t>
            </w:r>
            <w:r/>
          </w:p>
        </w:tc>
        <w:tc>
          <w:tcPr>
            <w:tcW w:w="6108" w:type="dxa"/>
            <w:vAlign w:val="center"/>
            <w:textDirection w:val="lrTb"/>
            <w:noWrap w:val="false"/>
          </w:tcPr>
          <w:p>
            <w:pPr>
              <w:ind w:left="200" w:hanging="200"/>
              <w:jc w:val="center"/>
              <w:widowControl/>
              <w:rPr>
                <w:rFonts w:hint="eastAsia" w:ascii="宋体" w:hAnsi="宋体" w:cs="宋体"/>
                <w:b/>
                <w:szCs w:val="21"/>
              </w:rPr>
            </w:pPr>
            <w:r>
              <w:rPr>
                <w:rFonts w:hint="eastAsia" w:ascii="宋体" w:hAnsi="宋体" w:cs="宋体"/>
                <w:b/>
                <w:szCs w:val="21"/>
              </w:rPr>
              <w:t xml:space="preserve">审查内容</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投标函、</w:t>
            </w:r>
            <w:r>
              <w:rPr>
                <w:rFonts w:hint="eastAsia" w:ascii="宋体" w:hAnsi="宋体" w:cs="宋体"/>
                <w:szCs w:val="21"/>
              </w:rPr>
              <w:t xml:space="preserve">法定代表人资格证明书和政府采购供应商信用承诺书</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按招标文件要求提供投标函、法定代表人资格证明书</w:t>
            </w:r>
            <w:r>
              <w:rPr>
                <w:rFonts w:hint="eastAsia" w:ascii="宋体" w:hAnsi="宋体" w:cs="宋体"/>
                <w:b/>
                <w:bCs/>
                <w:szCs w:val="21"/>
              </w:rPr>
              <w:t xml:space="preserve">、</w:t>
            </w:r>
            <w:r>
              <w:rPr>
                <w:rFonts w:hint="eastAsia" w:ascii="宋体" w:hAnsi="宋体" w:cs="宋体"/>
                <w:szCs w:val="21"/>
              </w:rPr>
              <w:t xml:space="preserve">政府采购供应商信用承</w:t>
            </w:r>
            <w:r>
              <w:rPr>
                <w:rFonts w:hint="eastAsia" w:ascii="宋体" w:hAnsi="宋体" w:cs="宋体"/>
                <w:szCs w:val="21"/>
              </w:rPr>
              <w:t xml:space="preserve">诺书</w:t>
            </w:r>
            <w:r>
              <w:rPr>
                <w:rFonts w:hint="eastAsia" w:ascii="宋体" w:hAnsi="宋体" w:cs="宋体"/>
                <w:szCs w:val="21"/>
              </w:rPr>
              <w:t xml:space="preserve">；</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2</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投标完整性</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未将一个采购包中的内容拆开投标；（由评委审查，无需供应商提供材料）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3</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投标报价</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投标报价未</w:t>
            </w:r>
            <w:r>
              <w:rPr>
                <w:rFonts w:hint="eastAsia" w:ascii="宋体" w:hAnsi="宋体" w:cs="宋体"/>
                <w:szCs w:val="21"/>
              </w:rPr>
              <w:t xml:space="preserve">超过招标文件中规定的项目/采购包预算金额或者项目/采购包最高限价</w:t>
            </w:r>
            <w:r>
              <w:rPr>
                <w:rFonts w:hint="eastAsia" w:ascii="宋体" w:hAnsi="宋体" w:cs="宋体"/>
                <w:szCs w:val="21"/>
              </w:rPr>
              <w:t xml:space="preserve">；</w:t>
            </w:r>
            <w:r>
              <w:rPr>
                <w:rFonts w:hint="eastAsia" w:ascii="宋体" w:hAnsi="宋体" w:cs="宋体"/>
                <w:szCs w:val="21"/>
              </w:rPr>
              <w:t xml:space="preserve">（由评委审查，无需供应商提供材料）</w:t>
            </w:r>
            <w:r/>
          </w:p>
        </w:tc>
      </w:tr>
      <w:tr>
        <w:trPr>
          <w:jc w:val="center"/>
          <w:trHeight w:val="664"/>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4</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报价唯一性</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szCs w:val="21"/>
              </w:rPr>
              <w:t xml:space="preserve">；</w:t>
            </w:r>
            <w:r>
              <w:rPr>
                <w:rFonts w:hint="eastAsia" w:ascii="宋体" w:hAnsi="宋体" w:cs="宋体"/>
                <w:b/>
                <w:szCs w:val="21"/>
              </w:rPr>
              <w:t xml:space="preserve">提供《开标一览表》</w:t>
            </w:r>
            <w:r>
              <w:rPr>
                <w:rFonts w:hint="eastAsia" w:ascii="宋体" w:hAnsi="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5</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投标有效期</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投标文件中承诺的投标有效期满足招标文件中载明的投标有效期的；（详见附件投标函）</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6</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签署、加盖公章</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按照招标文件要求签署、加盖公章的；（由评委审查，无需供应商提供材料）</w:t>
            </w:r>
            <w:r/>
          </w:p>
        </w:tc>
      </w:tr>
      <w:tr>
        <w:trPr>
          <w:jc w:val="center"/>
          <w:trHeight w:val="938"/>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7</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实质性格式</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标记为“实质性格式”的文件均按招标文件要求提供；除前面已提供的实质性格式文件以外，</w:t>
            </w:r>
            <w:r>
              <w:rPr>
                <w:rFonts w:hint="eastAsia" w:ascii="宋体" w:hAnsi="宋体" w:cs="宋体"/>
                <w:b/>
                <w:szCs w:val="21"/>
              </w:rPr>
              <w:t xml:space="preserve">还需提供：合同条款偏离表，采购需求偏离表</w:t>
            </w:r>
            <w:r>
              <w:rPr>
                <w:rFonts w:hint="eastAsia" w:ascii="宋体" w:hAnsi="宋体" w:cs="宋体"/>
                <w:szCs w:val="21"/>
              </w:rPr>
              <w:t xml:space="preserve">，详见附件格式。</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8</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★号条款响应</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投标文件满足招标文件</w:t>
            </w:r>
            <w:r>
              <w:rPr>
                <w:rFonts w:hint="eastAsia" w:ascii="宋体" w:hAnsi="宋体" w:cs="宋体"/>
                <w:szCs w:val="21"/>
              </w:rPr>
              <w:t xml:space="preserve">第五章《采购需求》</w:t>
            </w:r>
            <w:r>
              <w:rPr>
                <w:rFonts w:hint="eastAsia" w:ascii="宋体" w:hAnsi="宋体" w:cs="宋体"/>
                <w:szCs w:val="21"/>
              </w:rPr>
              <w:t xml:space="preserve">中★号条款要求的。</w:t>
            </w:r>
            <w:r>
              <w:rPr>
                <w:rFonts w:hint="eastAsia" w:ascii="宋体" w:hAnsi="宋体" w:cs="宋体"/>
                <w:b/>
                <w:bCs/>
                <w:szCs w:val="21"/>
              </w:rPr>
              <w:t xml:space="preserve">（如第五章《采购需求》中有★号条款要求的，按照序号逐项提供相关证明材料；如第五章《采购需求》中没有★号条款要求的，则无需供应商提供材料。）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9</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分包承担主体资质（如有）</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分包承担主体具备《投标人须知资料表》载明的资质条件且提供了资质证书（如有）；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10</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分包意向协议</w:t>
            </w:r>
            <w:r/>
          </w:p>
          <w:p>
            <w:pPr>
              <w:ind w:left="199" w:hanging="199"/>
              <w:jc w:val="left"/>
              <w:widowControl/>
              <w:rPr>
                <w:rFonts w:hint="eastAsia" w:ascii="宋体" w:hAnsi="宋体" w:cs="宋体"/>
                <w:szCs w:val="21"/>
              </w:rPr>
            </w:pPr>
            <w:r>
              <w:rPr>
                <w:rFonts w:hint="eastAsia" w:ascii="宋体" w:hAnsi="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按招标文件规定签订并提供分包意向协议原件；</w:t>
            </w:r>
            <w:r>
              <w:rPr>
                <w:rFonts w:hint="eastAsia" w:ascii="宋体" w:hAnsi="宋体" w:cs="宋体"/>
                <w:szCs w:val="21"/>
              </w:rPr>
              <w:t xml:space="preserve">（如有）</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11</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报价的修正（如有）</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不涉及报价修正，或投标文件报价出现前后不一致时，投标人对修正后的报价予以确认；（如有，由评委审查，无需供应商提供材料）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12</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报价合理性</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13</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进口产品</w:t>
            </w:r>
            <w:r/>
          </w:p>
          <w:p>
            <w:pPr>
              <w:ind w:left="199" w:hanging="199"/>
              <w:jc w:val="left"/>
              <w:widowControl/>
              <w:rPr>
                <w:rFonts w:hint="eastAsia" w:ascii="宋体" w:hAnsi="宋体" w:cs="宋体"/>
                <w:szCs w:val="21"/>
              </w:rPr>
            </w:pPr>
            <w:r>
              <w:rPr>
                <w:rFonts w:hint="eastAsia" w:ascii="宋体" w:hAnsi="宋体" w:cs="宋体"/>
                <w:szCs w:val="21"/>
              </w:rPr>
              <w:t xml:space="preserve">（如有）</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招标文件不接受进口产品投标的内容时，投标人所投产品非进口产品的；</w:t>
            </w:r>
            <w:r>
              <w:rPr>
                <w:rFonts w:hint="eastAsia" w:ascii="宋体" w:hAnsi="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14</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国家有关部门对投标人的投标产品有强制性规定或要求的</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国家有关部门对投标人的投标产品有强制性规定或要求的（如相应技术、安全、节能和环保等），投标人的投标产品应符合相应规定或要求，并提供证明文件：</w:t>
            </w:r>
            <w:r/>
          </w:p>
          <w:p>
            <w:pPr>
              <w:ind w:left="199" w:hanging="199"/>
              <w:jc w:val="left"/>
              <w:widowControl/>
              <w:rPr>
                <w:rFonts w:hint="eastAsia" w:ascii="宋体" w:hAnsi="宋体" w:cs="宋体"/>
                <w:szCs w:val="21"/>
              </w:rPr>
            </w:pPr>
            <w:r>
              <w:rPr>
                <w:rFonts w:hint="eastAsia" w:ascii="宋体" w:hAnsi="宋体" w:cs="宋体"/>
                <w:szCs w:val="21"/>
              </w:rPr>
              <w:t xml:space="preserve">1）采购的产品若属于《节能产品政府采购品目清单》范围中政府强制采购产品，则投标人所报产品必须获得国家确定的认证机构出具的、处于有效期之内的节能产品认证证书；</w:t>
            </w:r>
            <w:r/>
          </w:p>
          <w:p>
            <w:pPr>
              <w:ind w:left="199" w:hanging="199"/>
              <w:jc w:val="left"/>
              <w:widowControl/>
              <w:rPr>
                <w:rFonts w:hint="eastAsia" w:ascii="宋体" w:hAnsi="宋体" w:cs="宋体"/>
                <w:szCs w:val="21"/>
              </w:rPr>
            </w:pPr>
            <w:r>
              <w:rPr>
                <w:rFonts w:hint="eastAsia" w:ascii="宋体" w:hAnsi="宋体" w:cs="宋体"/>
                <w:szCs w:val="21"/>
              </w:rPr>
              <w:t xml:space="preserve">2）投标产品如涉及计算机信息系统安全专用产品的，须提供公安部颁发的计算机信息系统安全专用产品销售许可证；</w:t>
            </w:r>
            <w:r/>
          </w:p>
          <w:p>
            <w:pPr>
              <w:ind w:left="199" w:hanging="199"/>
              <w:jc w:val="left"/>
              <w:widowControl/>
              <w:rPr>
                <w:rFonts w:hint="eastAsia" w:ascii="宋体" w:hAnsi="宋体" w:cs="宋体"/>
                <w:szCs w:val="21"/>
              </w:rPr>
            </w:pPr>
            <w:r>
              <w:rPr>
                <w:rFonts w:hint="eastAsia" w:ascii="宋体" w:hAnsi="宋体" w:cs="宋体"/>
                <w:szCs w:val="21"/>
              </w:rPr>
              <w:t xml:space="preserve">3）投标产品如有属于开展国家信息安全产品认证产品范围的，须提供由中国网络安全审查技术与认证中心（原中国信息安全认证中心）按国家标准认证颁发的有效认证证书等）；</w:t>
            </w:r>
            <w:r/>
          </w:p>
          <w:p>
            <w:pPr>
              <w:ind w:left="199" w:hanging="199"/>
              <w:jc w:val="left"/>
              <w:widowControl/>
              <w:rPr>
                <w:rFonts w:hint="eastAsia" w:ascii="宋体" w:hAnsi="宋体" w:cs="宋体"/>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15</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公平竞争</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投标人遵循公平竞争的原则，不存在恶意串通，妨碍其他投标人的竞争行为，不存在损害采购人或者其他投标人的合法权益情形的；</w:t>
            </w:r>
            <w:r>
              <w:rPr>
                <w:rFonts w:hint="eastAsia" w:ascii="宋体" w:hAnsi="宋体" w:cs="宋体"/>
                <w:szCs w:val="21"/>
              </w:rPr>
              <w:t xml:space="preserve">（由评委审查，无需供应商提供材料）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16</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串通投标</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17</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附加条件</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投标文件未含有采购人不能接受的附加条件的；（由评委审查，无需供应商提供材料）</w:t>
            </w:r>
            <w:r/>
          </w:p>
        </w:tc>
      </w:tr>
      <w:tr>
        <w:trPr>
          <w:jc w:val="center"/>
          <w:trHeight w:val="685"/>
        </w:trPr>
        <w:tc>
          <w:tcPr>
            <w:tcW w:w="750" w:type="dxa"/>
            <w:vAlign w:val="center"/>
            <w:textDirection w:val="lrTb"/>
            <w:noWrap w:val="false"/>
          </w:tcPr>
          <w:p>
            <w:pPr>
              <w:ind w:left="199" w:hanging="199"/>
              <w:jc w:val="center"/>
              <w:widowControl/>
              <w:rPr>
                <w:rFonts w:hint="eastAsia" w:ascii="宋体" w:hAnsi="宋体" w:cs="宋体"/>
                <w:szCs w:val="21"/>
              </w:rPr>
            </w:pPr>
            <w:r>
              <w:rPr>
                <w:rFonts w:hint="eastAsia" w:ascii="宋体" w:hAnsi="宋体" w:cs="宋体"/>
                <w:szCs w:val="21"/>
              </w:rPr>
              <w:t xml:space="preserve">18</w:t>
            </w:r>
            <w:r/>
          </w:p>
        </w:tc>
        <w:tc>
          <w:tcPr>
            <w:tcW w:w="1813"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其他无效情形</w:t>
            </w:r>
            <w:r/>
          </w:p>
        </w:tc>
        <w:tc>
          <w:tcPr>
            <w:tcW w:w="6108" w:type="dxa"/>
            <w:vAlign w:val="center"/>
            <w:textDirection w:val="lrTb"/>
            <w:noWrap w:val="false"/>
          </w:tcPr>
          <w:p>
            <w:pPr>
              <w:ind w:left="199" w:hanging="199"/>
              <w:jc w:val="left"/>
              <w:widowControl/>
              <w:rPr>
                <w:rFonts w:hint="eastAsia" w:ascii="宋体" w:hAnsi="宋体" w:cs="宋体"/>
                <w:szCs w:val="21"/>
              </w:rPr>
            </w:pPr>
            <w:r>
              <w:rPr>
                <w:rFonts w:hint="eastAsia" w:ascii="宋体" w:hAnsi="宋体" w:cs="宋体"/>
                <w:szCs w:val="21"/>
              </w:rPr>
              <w:t xml:space="preserve">投标人、投标文件不存在不符合法律、法规和招标文件规定的其他无效情形。</w:t>
            </w:r>
            <w:r>
              <w:rPr>
                <w:rFonts w:hint="eastAsia" w:ascii="宋体" w:hAnsi="宋体" w:cs="宋体"/>
                <w:szCs w:val="21"/>
              </w:rPr>
              <w:t xml:space="preserve">（由评委审查，无需供应商提供材料）</w:t>
            </w:r>
            <w:r/>
          </w:p>
        </w:tc>
      </w:tr>
    </w:tbl>
    <w:p>
      <w:pPr>
        <w:pStyle w:val="1068"/>
        <w:numPr>
          <w:ilvl w:val="0"/>
          <w:numId w:val="6"/>
        </w:numPr>
        <w:jc w:val="left"/>
        <w:spacing w:line="360" w:lineRule="auto"/>
        <w:rPr>
          <w:rFonts w:hint="eastAsia" w:ascii="宋体" w:hAnsi="宋体" w:cs="宋体"/>
          <w:sz w:val="24"/>
        </w:rPr>
      </w:pPr>
      <w:r>
        <w:rPr>
          <w:rFonts w:hint="eastAsia" w:ascii="宋体" w:hAnsi="宋体" w:cs="宋体"/>
          <w:sz w:val="24"/>
        </w:rPr>
        <w:t xml:space="preserve">投标文件有关事项的澄清或者说明</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评标过程中，评标委员会将通过“苏采云”系统以书面形式要求投标人</w:t>
      </w:r>
      <w:r>
        <w:rPr>
          <w:rFonts w:hint="eastAsia" w:ascii="宋体" w:hAnsi="宋体" w:cs="宋体"/>
          <w:sz w:val="24"/>
        </w:rPr>
        <w:t xml:space="preserve">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 w:val="24"/>
          <w:szCs w:val="24"/>
        </w:rPr>
        <w:t xml:space="preserve">接到评标委员会澄清、说明和补正要求的投标人如未按规定做出澄清、说明和补正，其风险由投标人自行承担。</w:t>
      </w:r>
      <w:r/>
    </w:p>
    <w:p>
      <w:pPr>
        <w:pStyle w:val="1068"/>
        <w:numPr>
          <w:ilvl w:val="1"/>
          <w:numId w:val="6"/>
        </w:numPr>
        <w:jc w:val="left"/>
        <w:spacing w:line="360" w:lineRule="auto"/>
        <w:rPr>
          <w:rFonts w:hint="eastAsia" w:ascii="宋体" w:hAnsi="宋体" w:cs="宋体"/>
          <w:sz w:val="24"/>
        </w:rPr>
      </w:pPr>
      <w:r>
        <w:rPr>
          <w:rFonts w:ascii="宋体" w:hAnsi="宋体" w:cs="宋体"/>
          <w:sz w:val="24"/>
        </w:rPr>
        <w:t xml:space="preserve">评审过程中出现下列情形之一的，</w:t>
      </w:r>
      <w:r>
        <w:rPr>
          <w:rFonts w:hint="eastAsia" w:ascii="宋体" w:hAnsi="宋体" w:cs="宋体"/>
          <w:sz w:val="24"/>
        </w:rPr>
        <w:t xml:space="preserve">评标委员会</w:t>
      </w:r>
      <w:r>
        <w:rPr>
          <w:rFonts w:ascii="宋体" w:hAnsi="宋体" w:cs="宋体"/>
          <w:sz w:val="24"/>
        </w:rPr>
        <w:t xml:space="preserve">应当启动异常低价投标审查</w:t>
      </w:r>
      <w:r>
        <w:rPr>
          <w:rFonts w:hint="eastAsia" w:ascii="宋体" w:hAnsi="宋体" w:cs="宋体"/>
          <w:sz w:val="24"/>
        </w:rPr>
        <w:t xml:space="preserve">程序：</w:t>
      </w:r>
      <w:r/>
    </w:p>
    <w:p>
      <w:pPr>
        <w:pStyle w:val="1068"/>
        <w:numPr>
          <w:ilvl w:val="2"/>
          <w:numId w:val="6"/>
        </w:numPr>
        <w:jc w:val="left"/>
        <w:spacing w:line="360" w:lineRule="auto"/>
        <w:rPr>
          <w:rFonts w:hint="eastAsia" w:ascii="宋体" w:hAnsi="宋体" w:cs="宋体"/>
          <w:sz w:val="24"/>
        </w:rPr>
      </w:pPr>
      <w:r>
        <w:rPr>
          <w:rFonts w:ascii="宋体" w:hAnsi="宋体" w:cs="宋体"/>
          <w:sz w:val="24"/>
        </w:rPr>
        <w:t xml:space="preserve">投标报价低于采购项目预算50%的，即投标报价&lt;采购项目预算×50%；</w:t>
      </w:r>
      <w:r/>
    </w:p>
    <w:p>
      <w:pPr>
        <w:pStyle w:val="1068"/>
        <w:numPr>
          <w:ilvl w:val="2"/>
          <w:numId w:val="6"/>
        </w:numPr>
        <w:jc w:val="left"/>
        <w:spacing w:line="360" w:lineRule="auto"/>
        <w:rPr>
          <w:rFonts w:hint="eastAsia" w:ascii="宋体" w:hAnsi="宋体" w:cs="宋体"/>
          <w:sz w:val="24"/>
        </w:rPr>
      </w:pPr>
      <w:r>
        <w:rPr>
          <w:rFonts w:ascii="宋体" w:hAnsi="宋体" w:cs="宋体"/>
          <w:sz w:val="24"/>
        </w:rPr>
        <w:t xml:space="preserve">投标报价低于采购项目最高限价45%的，即投标报价&lt;采购项目最高限价×45%；</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评标委员会</w:t>
      </w:r>
      <w:r>
        <w:rPr>
          <w:rFonts w:ascii="宋体" w:hAnsi="宋体" w:cs="宋体"/>
          <w:sz w:val="24"/>
        </w:rPr>
        <w:t xml:space="preserve">认定的供应商报价过低、有可能影响产品质量或者不能诚信履约的其他情形。</w:t>
      </w:r>
      <w:r/>
    </w:p>
    <w:p>
      <w:pPr>
        <w:pStyle w:val="1068"/>
        <w:ind w:left="284" w:firstLine="480"/>
        <w:jc w:val="left"/>
        <w:spacing w:line="360" w:lineRule="auto"/>
        <w:rPr>
          <w:rFonts w:hint="eastAsia" w:ascii="宋体" w:hAnsi="宋体" w:cs="宋体"/>
          <w:sz w:val="24"/>
        </w:rPr>
      </w:pPr>
      <w:r>
        <w:rPr>
          <w:rFonts w:ascii="宋体" w:hAnsi="宋体" w:cs="宋体"/>
          <w:sz w:val="24"/>
        </w:rPr>
        <w:t xml:space="preserve">启动异常低价投标审查后，</w:t>
      </w:r>
      <w:r>
        <w:rPr>
          <w:rFonts w:hint="eastAsia" w:ascii="宋体" w:hAnsi="宋体" w:cs="宋体"/>
          <w:sz w:val="24"/>
        </w:rPr>
        <w:t xml:space="preserve">评标委员会</w:t>
      </w:r>
      <w:r>
        <w:rPr>
          <w:rFonts w:ascii="宋体" w:hAnsi="宋体" w:cs="宋体"/>
          <w:sz w:val="24"/>
        </w:rPr>
        <w:t xml:space="preserve">应当要求相关供应商在评标现场合理的时间内，提供项目具体成本测算等与报价合理性相关的书面说明及相关证明材料，对投标价格作出解释，由</w:t>
      </w:r>
      <w:r>
        <w:rPr>
          <w:rFonts w:hint="eastAsia" w:ascii="宋体" w:hAnsi="宋体" w:cs="宋体"/>
          <w:sz w:val="24"/>
        </w:rPr>
        <w:t xml:space="preserve">评标委员会</w:t>
      </w:r>
      <w:r>
        <w:rPr>
          <w:rFonts w:ascii="宋体" w:hAnsi="宋体" w:cs="宋体"/>
          <w:sz w:val="24"/>
        </w:rPr>
        <w:t xml:space="preserve">结合同类产品在主要电商平台的价格、该行业当地薪资水平等情况，依据专业经验对供应商报价合理性进行判断。投标供应商不提供书面说明、证明材料，或者提供的书面说明、证明材料不能证明其报价合理性的，</w:t>
      </w:r>
      <w:r>
        <w:rPr>
          <w:rFonts w:hint="eastAsia" w:ascii="宋体" w:hAnsi="宋体" w:cs="宋体"/>
          <w:sz w:val="24"/>
        </w:rPr>
        <w:t xml:space="preserve">评标委员会</w:t>
      </w:r>
      <w:r>
        <w:rPr>
          <w:rFonts w:ascii="宋体" w:hAnsi="宋体" w:cs="宋体"/>
          <w:sz w:val="24"/>
        </w:rPr>
        <w:t xml:space="preserve">应当将其作为</w:t>
      </w:r>
      <w:r>
        <w:rPr>
          <w:rFonts w:ascii="宋体" w:hAnsi="宋体" w:cs="宋体"/>
          <w:b/>
          <w:bCs/>
          <w:sz w:val="24"/>
        </w:rPr>
        <w:t xml:space="preserve">无效投标处理</w:t>
      </w:r>
      <w:r>
        <w:rPr>
          <w:rFonts w:ascii="宋体" w:hAnsi="宋体" w:cs="宋体"/>
          <w:sz w:val="24"/>
        </w:rPr>
        <w:t xml:space="preserve">。审查相关情况应当在评审报告中进行记录。</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投标文件报价出现前后不一致的，按照下列规定修正</w:t>
      </w:r>
      <w:r>
        <w:rPr>
          <w:rFonts w:hint="eastAsia" w:ascii="宋体" w:hAnsi="宋体" w:cs="宋体"/>
          <w:sz w:val="24"/>
        </w:rPr>
        <w:t xml:space="preserve">。</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招标文件对于报价修正是否另有规定：</w:t>
      </w:r>
      <w:r/>
    </w:p>
    <w:p>
      <w:pPr>
        <w:ind w:firstLine="960"/>
        <w:jc w:val="left"/>
        <w:spacing w:line="360" w:lineRule="auto"/>
        <w:rPr>
          <w:rFonts w:hint="eastAsia" w:ascii="宋体" w:hAnsi="宋体" w:cs="宋体"/>
          <w:sz w:val="24"/>
          <w:szCs w:val="24"/>
        </w:rPr>
      </w:pPr>
      <w:r>
        <w:rPr>
          <w:rFonts w:hint="eastAsia" w:ascii="宋体" w:hAnsi="宋体" w:cs="宋体"/>
          <w:sz w:val="24"/>
          <w:szCs w:val="24"/>
        </w:rPr>
        <w:t xml:space="preserve">□有，具体规定为：</w:t>
      </w:r>
      <w:r/>
    </w:p>
    <w:p>
      <w:pPr>
        <w:ind w:firstLine="960"/>
        <w:jc w:val="left"/>
        <w:spacing w:line="360" w:lineRule="auto"/>
        <w:rPr>
          <w:rFonts w:hint="eastAsia" w:ascii="宋体" w:hAnsi="宋体" w:cs="宋体"/>
          <w:sz w:val="24"/>
        </w:rPr>
      </w:pPr>
      <w:r>
        <w:rPr>
          <w:rFonts w:hint="eastAsia" w:ascii="宋体" w:hAnsi="宋体" w:cs="宋体"/>
          <w:sz w:val="24"/>
          <w:szCs w:val="24"/>
        </w:rPr>
        <w:t xml:space="preserve">■无，按下述2.4.2.2—2.4.7项规定修正</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同时出现两种以上不一致的，按照前款规定的顺序修正。评标委员会</w:t>
      </w:r>
      <w:r>
        <w:rPr>
          <w:rFonts w:hint="eastAsia" w:ascii="宋体" w:hAnsi="宋体" w:cs="宋体"/>
          <w:bCs/>
          <w:sz w:val="24"/>
        </w:rPr>
        <w:t xml:space="preserve">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rPr>
        <w:t xml:space="preserve">告知投标人，</w:t>
      </w:r>
      <w:r>
        <w:rPr>
          <w:rFonts w:hint="eastAsia" w:ascii="宋体" w:hAnsi="宋体" w:cs="宋体"/>
          <w:sz w:val="24"/>
        </w:rPr>
        <w:t xml:space="preserve">修正后的报价经投标人书面确认后产生约束力，投标人不确认的，其</w:t>
      </w:r>
      <w:r>
        <w:rPr>
          <w:rFonts w:hint="eastAsia" w:ascii="宋体" w:hAnsi="宋体" w:cs="宋体"/>
          <w:b/>
          <w:sz w:val="24"/>
        </w:rPr>
        <w:t xml:space="preserve">投标无效；</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对于未预留份额专门面向中小企业采购的采购项目，以及预留份额项目中的非预留部分采购包，对小微企业报价给予20%（工程项目为5%）的扣除，用扣除后的价格参加评审。</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w:t>
      </w:r>
      <w:r>
        <w:rPr>
          <w:rFonts w:hint="eastAsia" w:ascii="宋体" w:hAnsi="宋体" w:cs="宋体"/>
          <w:sz w:val="24"/>
        </w:rPr>
        <w:t xml:space="preserve">策。</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68"/>
        <w:numPr>
          <w:ilvl w:val="0"/>
          <w:numId w:val="6"/>
        </w:numPr>
        <w:jc w:val="left"/>
        <w:spacing w:line="360" w:lineRule="auto"/>
        <w:rPr>
          <w:rFonts w:hint="eastAsia" w:ascii="宋体" w:hAnsi="宋体" w:cs="宋体"/>
          <w:sz w:val="24"/>
        </w:rPr>
      </w:pPr>
      <w:r>
        <w:rPr>
          <w:rFonts w:hint="eastAsia" w:ascii="宋体" w:hAnsi="宋体" w:cs="宋体"/>
          <w:sz w:val="24"/>
        </w:rPr>
        <w:t xml:space="preserve">投标文件的比较和评价</w:t>
      </w:r>
      <w:r>
        <w:rPr>
          <w:rFonts w:hint="eastAsia" w:ascii="宋体" w:hAnsi="宋体" w:cs="宋体"/>
          <w:b/>
          <w:sz w:val="24"/>
        </w:rPr>
        <w:t xml:space="preserve">：</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评标方法和评标标准；</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本项目采用的评标方法为：</w:t>
      </w:r>
      <w:r/>
    </w:p>
    <w:p>
      <w:pPr>
        <w:ind w:left="1134" w:firstLine="240"/>
        <w:jc w:val="left"/>
        <w:spacing w:line="360" w:lineRule="auto"/>
        <w:rPr>
          <w:rFonts w:hint="eastAsia" w:ascii="宋体" w:hAnsi="宋体" w:cs="宋体"/>
          <w:sz w:val="24"/>
        </w:rPr>
      </w:pPr>
      <w:r>
        <w:rPr>
          <w:rFonts w:hint="eastAsia" w:ascii="宋体" w:hAnsi="宋体" w:cs="宋体"/>
          <w:sz w:val="24"/>
          <w:szCs w:val="24"/>
        </w:rPr>
        <w:t xml:space="preserve">■</w:t>
      </w: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134" w:firstLine="240"/>
        <w:jc w:val="left"/>
        <w:spacing w:line="360" w:lineRule="auto"/>
        <w:rPr>
          <w:rFonts w:hint="eastAsia" w:ascii="宋体" w:hAnsi="宋体" w:cs="宋体"/>
          <w:sz w:val="24"/>
        </w:rPr>
      </w:pPr>
      <w:r>
        <w:rPr>
          <w:rFonts w:hint="eastAsia" w:ascii="宋体" w:hAnsi="宋体" w:cs="宋体"/>
          <w:sz w:val="24"/>
          <w:szCs w:val="24"/>
        </w:rPr>
        <w:t xml:space="preserve">□</w:t>
      </w:r>
      <w:r>
        <w:rPr>
          <w:rFonts w:hint="eastAsia" w:ascii="宋体" w:hAnsi="宋体" w:cs="宋体"/>
          <w:sz w:val="24"/>
        </w:rPr>
        <w:t xml:space="preserve">最低评标价法，指投标文件满足招标文件全部实质性要求，且投标报价最低的投标人为中标候选人的评标方法。</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  /  </w:t>
      </w:r>
      <w:r>
        <w:rPr>
          <w:rFonts w:hint="eastAsia" w:ascii="宋体" w:hAnsi="宋体" w:cs="宋体"/>
          <w:sz w:val="24"/>
        </w:rPr>
        <w:t xml:space="preserve">。</w:t>
      </w:r>
      <w:r/>
    </w:p>
    <w:p>
      <w:pPr>
        <w:pStyle w:val="1068"/>
        <w:numPr>
          <w:ilvl w:val="2"/>
          <w:numId w:val="6"/>
        </w:numPr>
        <w:jc w:val="left"/>
        <w:spacing w:line="360" w:lineRule="auto"/>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  /  </w:t>
      </w:r>
      <w:r>
        <w:rPr>
          <w:rFonts w:hint="eastAsia" w:ascii="宋体" w:hAnsi="宋体" w:cs="宋体"/>
          <w:sz w:val="24"/>
        </w:rPr>
        <w:t xml:space="preserve">。</w:t>
      </w:r>
      <w:r/>
    </w:p>
    <w:p>
      <w:pPr>
        <w:pStyle w:val="1068"/>
        <w:numPr>
          <w:ilvl w:val="0"/>
          <w:numId w:val="6"/>
        </w:numPr>
        <w:jc w:val="left"/>
        <w:spacing w:line="360" w:lineRule="auto"/>
        <w:rPr>
          <w:rFonts w:hint="eastAsia" w:ascii="宋体" w:hAnsi="宋体" w:cs="宋体"/>
          <w:sz w:val="24"/>
        </w:rPr>
      </w:pPr>
      <w:r>
        <w:rPr>
          <w:rFonts w:hint="eastAsia" w:ascii="宋体" w:hAnsi="宋体" w:cs="宋体"/>
          <w:sz w:val="24"/>
        </w:rPr>
        <w:t xml:space="preserve">确定中标候选人名单</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1134" w:firstLine="240"/>
        <w:jc w:val="left"/>
        <w:spacing w:line="360" w:lineRule="auto"/>
        <w:rPr>
          <w:rFonts w:hint="eastAsia" w:ascii="宋体" w:hAnsi="宋体" w:cs="宋体"/>
          <w:sz w:val="24"/>
        </w:rPr>
      </w:pPr>
      <w:r>
        <w:rPr>
          <w:rFonts w:hint="eastAsia" w:ascii="宋体" w:hAnsi="宋体" w:cs="宋体"/>
          <w:sz w:val="24"/>
          <w:szCs w:val="24"/>
        </w:rPr>
        <w:t xml:space="preserve">■</w:t>
      </w:r>
      <w:r>
        <w:rPr>
          <w:rFonts w:hint="eastAsia" w:ascii="宋体" w:hAnsi="宋体" w:cs="宋体"/>
          <w:sz w:val="24"/>
        </w:rPr>
        <w:t xml:space="preserve">随机抽取</w:t>
      </w:r>
      <w:r/>
    </w:p>
    <w:p>
      <w:pPr>
        <w:ind w:left="1134" w:firstLine="240"/>
        <w:jc w:val="left"/>
        <w:spacing w:line="360" w:lineRule="auto"/>
        <w:rPr>
          <w:rFonts w:hint="eastAsia" w:ascii="宋体" w:hAnsi="宋体" w:cs="宋体"/>
          <w:sz w:val="24"/>
        </w:rPr>
      </w:pPr>
      <w:r>
        <w:rPr>
          <w:rFonts w:hint="eastAsia" w:ascii="宋体" w:hAnsi="宋体" w:cs="宋体"/>
          <w:sz w:val="24"/>
          <w:szCs w:val="24"/>
        </w:rPr>
        <w:t xml:space="preserve">□</w:t>
      </w:r>
      <w:r>
        <w:rPr>
          <w:rFonts w:hint="eastAsia" w:ascii="宋体" w:hAnsi="宋体" w:cs="宋体"/>
          <w:sz w:val="24"/>
        </w:rPr>
        <w:t xml:space="preserve">其他方式，具体要求：_____</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w:t>
      </w:r>
      <w:r/>
    </w:p>
    <w:p>
      <w:pPr>
        <w:pStyle w:val="1068"/>
        <w:numPr>
          <w:ilvl w:val="0"/>
          <w:numId w:val="6"/>
        </w:numPr>
        <w:jc w:val="left"/>
        <w:spacing w:line="360" w:lineRule="auto"/>
        <w:rPr>
          <w:rFonts w:hint="eastAsia" w:ascii="宋体" w:hAnsi="宋体" w:cs="宋体"/>
          <w:sz w:val="24"/>
        </w:rPr>
      </w:pPr>
      <w:r>
        <w:rPr>
          <w:rFonts w:hint="eastAsia" w:ascii="宋体" w:hAnsi="宋体" w:cs="宋体"/>
          <w:sz w:val="24"/>
        </w:rPr>
        <w:t xml:space="preserve">报告违法行为</w:t>
      </w:r>
      <w:r/>
    </w:p>
    <w:p>
      <w:pPr>
        <w:pStyle w:val="1068"/>
        <w:numPr>
          <w:ilvl w:val="1"/>
          <w:numId w:val="6"/>
        </w:numPr>
        <w:jc w:val="left"/>
        <w:spacing w:line="360" w:lineRule="auto"/>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68"/>
        <w:numPr>
          <w:ilvl w:val="0"/>
          <w:numId w:val="6"/>
        </w:numPr>
        <w:jc w:val="left"/>
        <w:spacing w:line="360" w:lineRule="auto"/>
        <w:rPr>
          <w:rFonts w:hint="eastAsia" w:ascii="宋体" w:hAnsi="宋体" w:cs="宋体"/>
          <w:sz w:val="24"/>
        </w:rPr>
      </w:pPr>
      <w:r>
        <w:rPr>
          <w:rFonts w:hint="eastAsia" w:ascii="宋体" w:hAnsi="宋体" w:cs="宋体"/>
          <w:bCs/>
          <w:sz w:val="24"/>
        </w:rPr>
        <w:t xml:space="preserve">未通过资格审查或符合性审查的投标人，评标委员会将在“</w:t>
      </w:r>
      <w:r>
        <w:rPr>
          <w:rFonts w:hint="eastAsia" w:ascii="宋体" w:hAnsi="宋体" w:cs="宋体"/>
          <w:sz w:val="24"/>
          <w:szCs w:val="24"/>
        </w:rPr>
        <w:t xml:space="preserve">苏采云”系统</w:t>
      </w:r>
      <w:r>
        <w:rPr>
          <w:rFonts w:hint="eastAsia" w:ascii="宋体" w:hAnsi="宋体" w:cs="宋体"/>
          <w:bCs/>
          <w:sz w:val="24"/>
        </w:rPr>
        <w:t xml:space="preserve">中</w:t>
      </w:r>
      <w:r>
        <w:rPr>
          <w:rFonts w:hint="eastAsia" w:ascii="宋体" w:hAnsi="宋体" w:cs="宋体"/>
          <w:bCs/>
          <w:sz w:val="24"/>
        </w:rPr>
        <w:t xml:space="preserve">告知未通过资格审查或符合性审查的原因，评标结束后，代理机构将不再告知未通过资格审查和符合性审查的原因。</w:t>
      </w:r>
      <w:r/>
    </w:p>
    <w:p>
      <w:pPr>
        <w:pStyle w:val="1068"/>
        <w:numPr>
          <w:ilvl w:val="0"/>
          <w:numId w:val="6"/>
        </w:numPr>
        <w:jc w:val="left"/>
        <w:spacing w:line="360" w:lineRule="auto"/>
        <w:rPr>
          <w:rFonts w:hint="eastAsia" w:ascii="宋体" w:hAnsi="宋体" w:cs="宋体"/>
          <w:sz w:val="24"/>
        </w:rPr>
      </w:pPr>
      <w:r/>
      <w:bookmarkStart w:id="512" w:name="_Hlk159067375"/>
      <w:r>
        <w:rPr>
          <w:rFonts w:hint="eastAsia" w:ascii="宋体" w:hAnsi="宋体" w:cs="宋体"/>
          <w:sz w:val="24"/>
          <w:szCs w:val="24"/>
        </w:rPr>
        <w:t xml:space="preserve">采用综合评分法的项目，未中标的投标人可于中标结果公告期限届满之日起通过“苏采云”系统查看自己的评审得分及排序情况。</w:t>
      </w:r>
      <w:bookmarkEnd w:id="512"/>
      <w:r/>
      <w:r/>
    </w:p>
    <w:p>
      <w:pPr>
        <w:pStyle w:val="1068"/>
        <w:numPr>
          <w:ilvl w:val="0"/>
          <w:numId w:val="6"/>
        </w:numPr>
        <w:jc w:val="left"/>
        <w:spacing w:line="360" w:lineRule="auto"/>
        <w:rPr>
          <w:rFonts w:hint="eastAsia" w:ascii="宋体" w:hAnsi="宋体" w:cs="宋体"/>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rPr>
      </w:r>
      <w:r/>
    </w:p>
    <w:p>
      <w:pPr>
        <w:pStyle w:val="1068"/>
        <w:numPr>
          <w:ilvl w:val="0"/>
          <w:numId w:val="7"/>
        </w:numPr>
        <w:ind w:firstLine="0"/>
        <w:jc w:val="center"/>
        <w:spacing w:line="360" w:lineRule="auto"/>
        <w:rPr>
          <w:rFonts w:hint="eastAsia" w:ascii="宋体" w:hAnsi="宋体" w:cs="宋体"/>
          <w:b/>
          <w:sz w:val="28"/>
          <w:szCs w:val="28"/>
        </w:rPr>
      </w:pPr>
      <w:r/>
      <w:bookmarkStart w:id="513" w:name="_Toc104818929"/>
      <w:r>
        <w:rPr>
          <w:rFonts w:hint="eastAsia" w:ascii="宋体" w:hAnsi="宋体" w:cs="宋体"/>
          <w:b/>
          <w:sz w:val="28"/>
          <w:szCs w:val="28"/>
        </w:rPr>
        <w:t xml:space="preserve">评标标准</w:t>
      </w:r>
      <w:r/>
    </w:p>
    <w:tbl>
      <w:tblPr>
        <w:tblW w:w="5802" w:type="pct"/>
        <w:tblInd w:w="-7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1"/>
        <w:gridCol w:w="1172"/>
        <w:gridCol w:w="673"/>
        <w:gridCol w:w="4897"/>
        <w:gridCol w:w="1855"/>
        <w:gridCol w:w="352"/>
      </w:tblGrid>
      <w:tr>
        <w:trPr/>
        <w:tc>
          <w:tcPr>
            <w:tcW w:w="349"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60序号</w:t>
            </w:r>
            <w:r/>
          </w:p>
        </w:tc>
        <w:tc>
          <w:tcPr>
            <w:tcW w:w="609"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评分因素</w:t>
            </w:r>
            <w:r/>
          </w:p>
        </w:tc>
        <w:tc>
          <w:tcPr>
            <w:tcW w:w="350"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分值</w:t>
            </w:r>
            <w:r/>
          </w:p>
        </w:tc>
        <w:tc>
          <w:tcPr>
            <w:tcW w:w="2544"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评分标准</w:t>
            </w:r>
            <w:r/>
          </w:p>
        </w:tc>
        <w:tc>
          <w:tcPr>
            <w:gridSpan w:val="2"/>
            <w:tcW w:w="1147" w:type="pct"/>
            <w:vAlign w:val="center"/>
            <w:textDirection w:val="lrTb"/>
            <w:noWrap w:val="false"/>
          </w:tcPr>
          <w:p>
            <w:pPr>
              <w:pStyle w:val="1071"/>
              <w:spacing w:before="0" w:after="0" w:line="240" w:lineRule="auto"/>
              <w:rPr>
                <w:rFonts w:hint="eastAsia" w:ascii="宋体" w:hAnsi="宋体" w:eastAsia="宋体" w:cs="宋体"/>
                <w:sz w:val="21"/>
                <w:szCs w:val="21"/>
              </w:rPr>
            </w:pPr>
            <w:r>
              <w:rPr>
                <w:rFonts w:hint="eastAsia" w:ascii="宋体" w:hAnsi="宋体" w:eastAsia="宋体" w:cs="宋体"/>
                <w:sz w:val="21"/>
                <w:szCs w:val="21"/>
              </w:rPr>
              <w:t xml:space="preserve">说明</w:t>
            </w:r>
            <w:r/>
          </w:p>
        </w:tc>
      </w:tr>
      <w:tr>
        <w:trPr>
          <w:trHeight w:val="631"/>
        </w:trPr>
        <w:tc>
          <w:tcPr>
            <w:tcW w:w="349" w:type="pct"/>
            <w:vAlign w:val="center"/>
            <w:textDirection w:val="lrTb"/>
            <w:noWrap w:val="false"/>
          </w:tcPr>
          <w:p>
            <w:pPr>
              <w:ind w:firstLine="28"/>
              <w:jc w:val="center"/>
              <w:rPr>
                <w:rFonts w:hint="eastAsia" w:ascii="宋体" w:hAnsi="宋体" w:cs="宋体"/>
                <w:b/>
                <w:szCs w:val="21"/>
              </w:rPr>
            </w:pPr>
            <w:r>
              <w:rPr>
                <w:rFonts w:hint="eastAsia" w:ascii="宋体" w:hAnsi="宋体" w:cs="宋体"/>
                <w:b/>
                <w:szCs w:val="21"/>
              </w:rPr>
              <w:t xml:space="preserve">1</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价格分</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10</w:t>
            </w:r>
            <w:r/>
          </w:p>
        </w:tc>
        <w:tc>
          <w:tcPr>
            <w:tcW w:w="2544" w:type="pct"/>
            <w:vAlign w:val="center"/>
            <w:textDirection w:val="lrTb"/>
            <w:noWrap w:val="false"/>
          </w:tcPr>
          <w:p>
            <w:pPr>
              <w:pStyle w:val="1030"/>
              <w:jc w:val="both"/>
              <w:spacing w:before="120" w:after="120"/>
              <w:rPr>
                <w:rFonts w:hint="eastAsia" w:ascii="宋体" w:hAnsi="宋体" w:cs="宋体"/>
                <w:szCs w:val="21"/>
              </w:rPr>
            </w:pPr>
            <w:r>
              <w:rPr>
                <w:rFonts w:hint="eastAsia" w:ascii="宋体" w:hAnsi="宋体" w:cs="宋体"/>
                <w:szCs w:val="21"/>
              </w:rPr>
              <w:t xml:space="preserve">满足招标文件要求且投标价格最低的投标报价为评标基准价，其价格分为满分。其他投标人的价格分统一按照下列公式计算：</w:t>
            </w:r>
            <w:r/>
          </w:p>
          <w:p>
            <w:pPr>
              <w:pStyle w:val="1030"/>
              <w:jc w:val="both"/>
              <w:spacing w:before="120" w:after="120"/>
              <w:rPr>
                <w:rFonts w:hint="eastAsia" w:ascii="宋体" w:hAnsi="宋体" w:cs="宋体"/>
                <w:szCs w:val="21"/>
              </w:rPr>
            </w:pPr>
            <w:r>
              <w:rPr>
                <w:rFonts w:hint="eastAsia" w:ascii="宋体" w:hAnsi="宋体" w:cs="宋体"/>
                <w:szCs w:val="21"/>
              </w:rPr>
              <w:t xml:space="preserve">投标报价得分＝（评标基准价/投标报价）×分值。</w:t>
            </w:r>
            <w:r/>
          </w:p>
          <w:p>
            <w:pPr>
              <w:pStyle w:val="1030"/>
              <w:jc w:val="both"/>
              <w:spacing w:before="120" w:after="120"/>
              <w:rPr>
                <w:rFonts w:hint="eastAsia" w:ascii="宋体" w:hAnsi="宋体" w:cs="宋体"/>
                <w:szCs w:val="21"/>
              </w:rPr>
            </w:pPr>
            <w:r>
              <w:rPr>
                <w:rFonts w:hint="eastAsia" w:ascii="宋体" w:hAnsi="宋体" w:cs="宋体"/>
                <w:szCs w:val="21"/>
              </w:rPr>
              <w:t xml:space="preserve">此处投标报价指经过报价修正，及因落实政府采购政策进行价格调整后的报价，详见第四章《评标方法和评标标准》2.4及2.5。</w:t>
            </w:r>
            <w:r/>
          </w:p>
          <w:p>
            <w:pPr>
              <w:rPr>
                <w:rFonts w:hint="eastAsia" w:ascii="宋体" w:hAnsi="宋体" w:cs="宋体"/>
                <w:szCs w:val="21"/>
              </w:rPr>
            </w:pPr>
            <w:r>
              <w:rPr>
                <w:rFonts w:hint="eastAsia" w:ascii="宋体" w:hAnsi="宋体" w:cs="宋体"/>
                <w:szCs w:val="21"/>
              </w:rPr>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注意：评审委员会认为投标人的报价属于应当启动异常低价投标审查程序范畴的，应当要求其在评审现场合理的时间内提供书面说明，必要时提交相关证明材料；投标人不能证明其报价合理性的，评审委员会应当将其作为无效投标处理。</w:t>
            </w:r>
            <w:r/>
          </w:p>
        </w:tc>
      </w:tr>
      <w:tr>
        <w:trPr>
          <w:trHeight w:val="609"/>
        </w:trPr>
        <w:tc>
          <w:tcPr>
            <w:tcW w:w="349" w:type="pct"/>
            <w:vAlign w:val="center"/>
            <w:textDirection w:val="lrTb"/>
            <w:noWrap w:val="false"/>
          </w:tcPr>
          <w:p>
            <w:pPr>
              <w:ind w:firstLine="28"/>
              <w:jc w:val="center"/>
              <w:rPr>
                <w:rFonts w:hint="eastAsia" w:ascii="宋体" w:hAnsi="宋体" w:cs="宋体"/>
                <w:b/>
                <w:bCs/>
                <w:szCs w:val="21"/>
              </w:rPr>
            </w:pPr>
            <w:r>
              <w:rPr>
                <w:rFonts w:hint="eastAsia" w:ascii="宋体" w:hAnsi="宋体" w:cs="宋体"/>
                <w:b/>
                <w:bCs/>
                <w:szCs w:val="21"/>
              </w:rPr>
              <w:t xml:space="preserve">2</w:t>
            </w:r>
            <w:r/>
          </w:p>
        </w:tc>
        <w:tc>
          <w:tcPr>
            <w:tcW w:w="609" w:type="pct"/>
            <w:vAlign w:val="center"/>
            <w:textDirection w:val="lrTb"/>
            <w:noWrap w:val="false"/>
          </w:tcPr>
          <w:p>
            <w:pPr>
              <w:ind w:firstLine="28"/>
              <w:jc w:val="center"/>
              <w:rPr>
                <w:rFonts w:hint="eastAsia" w:ascii="宋体" w:hAnsi="宋体" w:cs="宋体"/>
                <w:b/>
                <w:bCs/>
                <w:szCs w:val="21"/>
              </w:rPr>
            </w:pPr>
            <w:r>
              <w:rPr>
                <w:rFonts w:hint="eastAsia" w:ascii="宋体" w:hAnsi="宋体" w:cs="宋体"/>
                <w:b/>
                <w:bCs/>
                <w:szCs w:val="21"/>
              </w:rPr>
              <w:t xml:space="preserve">技术分</w:t>
            </w:r>
            <w:r/>
          </w:p>
        </w:tc>
        <w:tc>
          <w:tcPr>
            <w:tcW w:w="350" w:type="pct"/>
            <w:vAlign w:val="center"/>
            <w:textDirection w:val="lrTb"/>
            <w:noWrap w:val="false"/>
          </w:tcPr>
          <w:p>
            <w:pPr>
              <w:ind w:firstLine="28"/>
              <w:jc w:val="center"/>
              <w:rPr>
                <w:rFonts w:hint="eastAsia" w:ascii="宋体" w:hAnsi="宋体" w:cs="宋体"/>
                <w:b/>
                <w:bCs/>
                <w:szCs w:val="21"/>
              </w:rPr>
            </w:pPr>
            <w:r>
              <w:rPr>
                <w:rFonts w:hint="eastAsia" w:ascii="宋体" w:hAnsi="宋体" w:cs="宋体"/>
                <w:b/>
                <w:bCs/>
                <w:szCs w:val="21"/>
              </w:rPr>
              <w:t xml:space="preserve">30</w:t>
            </w:r>
            <w:r/>
          </w:p>
        </w:tc>
        <w:tc>
          <w:tcPr>
            <w:tcW w:w="2544" w:type="pct"/>
            <w:vAlign w:val="center"/>
            <w:textDirection w:val="lrTb"/>
            <w:noWrap w:val="false"/>
          </w:tcPr>
          <w:p>
            <w:pPr>
              <w:rPr>
                <w:rFonts w:hint="eastAsia" w:ascii="宋体" w:hAnsi="宋体" w:cs="宋体"/>
                <w:b/>
                <w:bCs/>
                <w:szCs w:val="21"/>
              </w:rPr>
            </w:pPr>
            <w:r>
              <w:rPr>
                <w:rFonts w:hint="eastAsia" w:ascii="宋体" w:hAnsi="宋体" w:cs="宋体"/>
                <w:b/>
                <w:bCs/>
                <w:szCs w:val="21"/>
              </w:rPr>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2.1</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管理机构和管理制度</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4</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有完整的管理机构配备以及管理平台；有道路环卫机械化及人工作业管理制度；有垃圾收运作业管理制度；有公厕管理和保洁作业制度；有河道保洁作业制度；有绿化养护人员组织及落实制度（方案内容包括：项目部组织网络；作业落实制度具体人员的权责、分工描述、作业时间、巡查检查制度，有奖惩措施；巡查时间安排合理措施及巡查资料上报准确性、及时措施，并承诺绿地发生破坏或侵占第一时间上报制度）；有员工录用、考核和淘汰制度和员工培训计划。</w:t>
            </w:r>
            <w:r/>
          </w:p>
          <w:p>
            <w:pPr>
              <w:rPr>
                <w:rFonts w:hint="eastAsia" w:ascii="宋体" w:hAnsi="宋体" w:cs="宋体"/>
                <w:szCs w:val="21"/>
              </w:rPr>
            </w:pPr>
            <w:r>
              <w:rPr>
                <w:rFonts w:hint="eastAsia" w:ascii="宋体" w:hAnsi="宋体" w:cs="宋体"/>
                <w:szCs w:val="21"/>
              </w:rPr>
              <w:t xml:space="preserve">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方案针对性、操作性强，计划安排合理的得4分；</w:t>
            </w:r>
            <w:r/>
          </w:p>
          <w:p>
            <w:pPr>
              <w:rPr>
                <w:rFonts w:hint="eastAsia" w:ascii="宋体" w:hAnsi="宋体" w:cs="宋体"/>
                <w:szCs w:val="21"/>
              </w:rPr>
            </w:pPr>
            <w:r>
              <w:rPr>
                <w:rFonts w:hint="eastAsia" w:ascii="宋体" w:hAnsi="宋体" w:cs="宋体"/>
                <w:szCs w:val="21"/>
              </w:rPr>
              <w:t xml:space="preserve">方案针对性、操作性较强，计划安排较为合理的的得2分，方案针对性、操作性一般，计划安排不够合理的得1分；未提供方案不得分。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2.2</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道路环卫机械化作业方案</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道路环卫机械化作业组织方案及流程（含机械化清扫、冲洗、洒水、清洗和机械化收集的全过程）。方案内容包括上述要求：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方案针对性、操作性强，计划安排合理的得3分；</w:t>
            </w:r>
            <w:r/>
          </w:p>
          <w:p>
            <w:pPr>
              <w:rPr>
                <w:rFonts w:hint="eastAsia" w:ascii="宋体" w:hAnsi="宋体" w:cs="宋体"/>
                <w:szCs w:val="21"/>
              </w:rPr>
            </w:pPr>
            <w:r>
              <w:rPr>
                <w:rFonts w:hint="eastAsia" w:ascii="宋体" w:hAnsi="宋体" w:cs="宋体"/>
                <w:szCs w:val="21"/>
              </w:rPr>
              <w:t xml:space="preserve">方案针对性、操作性较强，计划安排较为合理的的得1.5分，</w:t>
            </w:r>
            <w:r/>
          </w:p>
          <w:p>
            <w:pPr>
              <w:rPr>
                <w:rFonts w:hint="eastAsia" w:ascii="宋体" w:hAnsi="宋体" w:cs="宋体"/>
                <w:szCs w:val="21"/>
              </w:rPr>
            </w:pPr>
            <w:r>
              <w:rPr>
                <w:rFonts w:hint="eastAsia" w:ascii="宋体" w:hAnsi="宋体" w:cs="宋体"/>
                <w:szCs w:val="21"/>
              </w:rPr>
              <w:t xml:space="preserve">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2.3</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人工作业组织方案及流程</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人工作业组织方案及流程（含道路人工保洁、小型高压冲洗作业（重点突出道板和局部污染的冲洗）、花台石凳保洁、公厕保洁/维护/清窖、果壳箱/垃圾桶</w:t>
            </w:r>
            <w:r>
              <w:rPr>
                <w:rFonts w:hint="eastAsia" w:ascii="宋体" w:hAnsi="宋体" w:cs="宋体"/>
                <w:szCs w:val="21"/>
              </w:rPr>
              <w:t xml:space="preserve">收集清洗维护）。方案内容包括上述要求：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方案针对性、操作性强，计划安排合理的得3分；</w:t>
            </w:r>
            <w:r/>
          </w:p>
          <w:p>
            <w:pPr>
              <w:rPr>
                <w:rFonts w:hint="eastAsia" w:ascii="宋体" w:hAnsi="宋体" w:cs="宋体"/>
                <w:szCs w:val="21"/>
              </w:rPr>
            </w:pPr>
            <w:r>
              <w:rPr>
                <w:rFonts w:hint="eastAsia" w:ascii="宋体" w:hAnsi="宋体" w:cs="宋体"/>
                <w:szCs w:val="21"/>
              </w:rPr>
              <w:t xml:space="preserve">方案针对性、操作性较强，计划安排较为合理的的得1.5分，</w:t>
            </w:r>
            <w:r/>
          </w:p>
          <w:p>
            <w:pPr>
              <w:rPr>
                <w:rFonts w:hint="eastAsia" w:ascii="宋体" w:hAnsi="宋体" w:cs="宋体"/>
                <w:szCs w:val="21"/>
              </w:rPr>
            </w:pPr>
            <w:r>
              <w:rPr>
                <w:rFonts w:hint="eastAsia" w:ascii="宋体" w:hAnsi="宋体" w:cs="宋体"/>
                <w:szCs w:val="21"/>
              </w:rPr>
              <w:t xml:space="preserve">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2.4</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垃圾收运作业组织方案及流程</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垃圾收运作业组织方案及流程（含道路沿线垃圾的巡回收集和垃圾分类收集的方案及实施过程）。方案内容包括上述要求：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方案针对性、操作性强，计划安排合理的得2分；</w:t>
            </w:r>
            <w:r/>
          </w:p>
          <w:p>
            <w:pPr>
              <w:rPr>
                <w:rFonts w:hint="eastAsia" w:ascii="宋体" w:hAnsi="宋体" w:cs="宋体"/>
                <w:szCs w:val="21"/>
              </w:rPr>
            </w:pPr>
            <w:r>
              <w:rPr>
                <w:rFonts w:hint="eastAsia" w:ascii="宋体" w:hAnsi="宋体" w:cs="宋体"/>
                <w:szCs w:val="21"/>
              </w:rPr>
              <w:t xml:space="preserve">方案针对性、操作性较强，计划安排较为合理的的得1分，</w:t>
            </w:r>
            <w:r/>
          </w:p>
          <w:p>
            <w:pPr>
              <w:rPr>
                <w:rFonts w:hint="eastAsia" w:ascii="宋体" w:hAnsi="宋体" w:cs="宋体"/>
                <w:szCs w:val="21"/>
              </w:rPr>
            </w:pPr>
            <w:r>
              <w:rPr>
                <w:rFonts w:hint="eastAsia" w:ascii="宋体" w:hAnsi="宋体" w:cs="宋体"/>
                <w:szCs w:val="21"/>
              </w:rPr>
              <w:t xml:space="preserve">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b/>
                <w:bCs/>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2.5</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环卫作业人员配备及作业时间</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环卫作业人员配备及作业时间安排方案；作业车辆及设备投入方案；进退场交接措施方案。方案内容包括上述要求：方案针对性、操作性强，计划安排合理的得2分；</w:t>
            </w:r>
            <w:r/>
          </w:p>
          <w:p>
            <w:pPr>
              <w:rPr>
                <w:rFonts w:hint="eastAsia" w:ascii="宋体" w:hAnsi="宋体" w:cs="宋体"/>
                <w:szCs w:val="21"/>
              </w:rPr>
            </w:pPr>
            <w:r>
              <w:rPr>
                <w:rFonts w:hint="eastAsia" w:ascii="宋体" w:hAnsi="宋体" w:cs="宋体"/>
                <w:szCs w:val="21"/>
              </w:rPr>
              <w:t xml:space="preserve">方案针对性、操作性较强，计划安排较为合理的的得1分，</w:t>
            </w:r>
            <w:r/>
          </w:p>
          <w:p>
            <w:pPr>
              <w:rPr>
                <w:rFonts w:hint="eastAsia" w:ascii="宋体" w:hAnsi="宋体" w:cs="宋体"/>
                <w:szCs w:val="21"/>
              </w:rPr>
            </w:pPr>
            <w:r>
              <w:rPr>
                <w:rFonts w:hint="eastAsia" w:ascii="宋体" w:hAnsi="宋体" w:cs="宋体"/>
                <w:szCs w:val="21"/>
              </w:rPr>
              <w:t xml:space="preserve">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b/>
                <w:bCs/>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2.6</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绿化养护方案</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5</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2.6.1绿化养护常规作业组织方案（含应急处置、极端天气应急预案），方案内容包括上述要求，方案针对性、操作性强，计划安排合理的得1分；方案针对性、操作性较强，计划安排较为合理的的得0.5分，方案针对性、操作性一般，计划安排不够合理的得0.3分；未提供方案不得分。</w:t>
            </w:r>
            <w:r/>
          </w:p>
          <w:p>
            <w:pPr>
              <w:rPr>
                <w:rFonts w:hint="eastAsia" w:ascii="宋体" w:hAnsi="宋体" w:cs="宋体"/>
                <w:szCs w:val="21"/>
              </w:rPr>
            </w:pPr>
            <w:r>
              <w:rPr>
                <w:rFonts w:hint="eastAsia" w:ascii="宋体" w:hAnsi="宋体" w:cs="宋体"/>
                <w:szCs w:val="21"/>
              </w:rPr>
              <w:t xml:space="preserve">2.6.2提供有详细的全年病虫害防治计划，针对常发性病害和虫害，制定科学合理的病虫害防治月历，方案内容包括上述要求，且满足招标文件要求的得1分；方案基本满足采购需求得0.5分，方案较差或有明显缺项得0.3分，未提供集成方案得0分。</w:t>
            </w:r>
            <w:r/>
          </w:p>
          <w:p>
            <w:pPr>
              <w:rPr>
                <w:rFonts w:hint="eastAsia" w:ascii="宋体" w:hAnsi="宋体" w:cs="宋体"/>
                <w:szCs w:val="21"/>
              </w:rPr>
            </w:pPr>
            <w:r>
              <w:rPr>
                <w:rFonts w:hint="eastAsia" w:ascii="宋体" w:hAnsi="宋体" w:cs="宋体"/>
                <w:szCs w:val="21"/>
              </w:rPr>
              <w:t xml:space="preserve">2.6.3提供根据养护区域、季节采取相应除草措施，有响应养护月历的浇水、排水要求，根据生长规律制定出有效的施肥方案，方案内容包括上述要求，且满足招标文件要求的得1分；方案基本满足采购需求得0.5分，方案较差或有明显缺项得0.3分，未提供集成方案得0分。</w:t>
            </w:r>
            <w:r/>
          </w:p>
          <w:p>
            <w:pPr>
              <w:pStyle w:val="1079"/>
              <w:jc w:val="left"/>
              <w:spacing w:line="320" w:lineRule="exact"/>
              <w:rPr>
                <w:rFonts w:hint="eastAsia" w:ascii="宋体" w:hAnsi="宋体" w:cs="宋体"/>
                <w:szCs w:val="21"/>
              </w:rPr>
            </w:pPr>
            <w:r>
              <w:rPr>
                <w:rFonts w:hint="eastAsia" w:ascii="宋体" w:hAnsi="宋体" w:cs="宋体"/>
                <w:szCs w:val="21"/>
              </w:rPr>
              <w:t xml:space="preserve">2.6.4 根据巡视时间安排，巡视资料上报确保准确、及时的方案，绿地发生破坏或侵占第一时间上报的方案，相关制度和实施等方案进行综合评分：方案完整、可行，能完全满足项目实施要求，得1</w:t>
            </w:r>
            <w:r>
              <w:rPr>
                <w:rFonts w:hint="eastAsia" w:ascii="宋体" w:hAnsi="宋体" w:cs="宋体"/>
                <w:szCs w:val="21"/>
              </w:rPr>
              <w:t xml:space="preserve">分；方案较具体、可行，能基本满足项目实施要求，得0.5分；方案内容较差、无针对性或可行性较差，得0.3分；未提供本项不得分。</w:t>
            </w:r>
            <w:r/>
          </w:p>
          <w:p>
            <w:pPr>
              <w:pStyle w:val="1026"/>
            </w:pPr>
            <w:r>
              <w:rPr>
                <w:rFonts w:hint="eastAsia" w:ascii="宋体" w:hAnsi="宋体" w:cs="宋体"/>
                <w:szCs w:val="21"/>
              </w:rPr>
              <w:t xml:space="preserve">2.6.5 根据绿化补种可行措施（绿化补种含绿化踩踏、缺株、死株更换、绿地种菜恢复、无手续行政开挖恢复等所有绿化补种）等方案进行综合评分：方案完整、可行，能完全满足项目实施要求，得1分；方案较具体、可行，能基本满足项目实施要求，得0.5分；方案内容较差、无针对性或可行性较差，得0.3 分；未提供本项不得分。</w:t>
            </w:r>
            <w:r/>
          </w:p>
        </w:tc>
        <w:tc>
          <w:tcPr>
            <w:gridSpan w:val="2"/>
            <w:tcW w:w="1147" w:type="pct"/>
            <w:vAlign w:val="center"/>
            <w:textDirection w:val="lrTb"/>
            <w:noWrap w:val="false"/>
          </w:tcPr>
          <w:p>
            <w:pPr>
              <w:ind w:left="-38"/>
              <w:rPr>
                <w:rFonts w:hint="eastAsia" w:ascii="宋体" w:hAnsi="宋体" w:cs="宋体"/>
                <w:b/>
                <w:bCs/>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2.7</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重点特色树种及其他乔灌草的修剪措施</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重点特色树种及其他乔灌草的修剪措施：</w:t>
            </w:r>
            <w:r/>
          </w:p>
          <w:p>
            <w:pPr>
              <w:rPr>
                <w:rFonts w:hint="eastAsia" w:ascii="宋体" w:hAnsi="宋体" w:cs="宋体"/>
                <w:szCs w:val="21"/>
              </w:rPr>
            </w:pPr>
            <w:r>
              <w:rPr>
                <w:rFonts w:hint="eastAsia" w:ascii="宋体" w:hAnsi="宋体" w:cs="宋体"/>
                <w:szCs w:val="21"/>
              </w:rPr>
              <w:t xml:space="preserve">2.7.1提供针对不同行道树制定有针对性修剪措施，方案内容包括上述要求，且满足招标文件要求的得1分；方案基本满足采购需求得0.5分，方案较差或有明显缺项得0.3分，未提供集成方案得0分。</w:t>
            </w:r>
            <w:r/>
          </w:p>
          <w:p>
            <w:pPr>
              <w:rPr>
                <w:rFonts w:hint="eastAsia" w:ascii="宋体" w:hAnsi="宋体" w:cs="宋体"/>
                <w:szCs w:val="21"/>
              </w:rPr>
            </w:pPr>
            <w:r>
              <w:rPr>
                <w:rFonts w:hint="eastAsia" w:ascii="宋体" w:hAnsi="宋体" w:cs="宋体"/>
                <w:szCs w:val="21"/>
              </w:rPr>
              <w:t xml:space="preserve">2.7.2提供其他乔木、花灌木、草坪、绿篱及地被等根据生长特性和季节制定合理的修剪措施，方案内容包括上述要求，且满足招标文件要求的得1分；方案基本满足采购需求得0.5分，方案较差或有明显缺项得0.3分，未提供集成方案得0分。</w:t>
            </w:r>
            <w:r/>
          </w:p>
          <w:p>
            <w:pPr>
              <w:rPr>
                <w:rFonts w:hint="eastAsia" w:ascii="宋体" w:hAnsi="宋体" w:cs="宋体"/>
                <w:szCs w:val="21"/>
              </w:rPr>
            </w:pPr>
            <w:r>
              <w:rPr>
                <w:rFonts w:hint="eastAsia" w:ascii="宋体" w:hAnsi="宋体" w:cs="宋体"/>
                <w:szCs w:val="21"/>
              </w:rPr>
              <w:t xml:space="preserve">2.7.3提供符合包段实际的特色造型、景观树的修剪措施方案内容包括上述要求，且满足招标文件要求的得1分；方案基本满足采购需求得0.5分，方案较差或有明显缺项得0.3分，未提供集成方案得0分。</w:t>
            </w:r>
            <w:r/>
          </w:p>
        </w:tc>
        <w:tc>
          <w:tcPr>
            <w:gridSpan w:val="2"/>
            <w:tcW w:w="1147" w:type="pct"/>
            <w:vAlign w:val="center"/>
            <w:textDirection w:val="lrTb"/>
            <w:noWrap w:val="false"/>
          </w:tcPr>
          <w:p>
            <w:pPr>
              <w:ind w:left="-38"/>
              <w:rPr>
                <w:rFonts w:hint="eastAsia" w:ascii="宋体" w:hAnsi="宋体" w:cs="宋体"/>
                <w:b/>
                <w:bCs/>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2.8</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安全、文明作业管理实施方案及保障措施</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有安全制度、安全预案、全员安全培训计划；有安全设施配备及安全检查及记录要求；有意外伤害赔偿措施和风险规避措施；有事故发生后的应对处理办法。方案内容包括上述要求：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方案针对性、操作性强，计划安排合理的得2分；</w:t>
            </w:r>
            <w:r/>
          </w:p>
          <w:p>
            <w:pPr>
              <w:rPr>
                <w:rFonts w:hint="eastAsia" w:ascii="宋体" w:hAnsi="宋体" w:cs="宋体"/>
                <w:szCs w:val="21"/>
              </w:rPr>
            </w:pPr>
            <w:r>
              <w:rPr>
                <w:rFonts w:hint="eastAsia" w:ascii="宋体" w:hAnsi="宋体" w:cs="宋体"/>
                <w:szCs w:val="21"/>
              </w:rPr>
              <w:t xml:space="preserve">方案针对性、操作性较强，计划安排较为合理的的得1分，方案针对性、操作性一般，计划安排不够合理的得0.5分；未提供方案不得分。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2.9</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恶劣天气应急预案</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有应急预案且具可操作性；有完备的应急物资贮备清单。方案内容包括上述要求：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方案针对性、操作性强，计划安排合理的得2分；</w:t>
            </w:r>
            <w:r/>
          </w:p>
          <w:p>
            <w:pPr>
              <w:rPr>
                <w:rFonts w:hint="eastAsia" w:ascii="宋体" w:hAnsi="宋体" w:cs="宋体"/>
                <w:szCs w:val="21"/>
              </w:rPr>
            </w:pPr>
            <w:r>
              <w:rPr>
                <w:rFonts w:hint="eastAsia" w:ascii="宋体" w:hAnsi="宋体" w:cs="宋体"/>
                <w:szCs w:val="21"/>
              </w:rPr>
              <w:t xml:space="preserve">方案针对性、操作性较强，计划安排较为合理的的得1分，方案针对性、操作性一般，计划安排不够合理的得0.5分；未提供方案不得分。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2.10</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重大活动，检查评比和节假日保障</w:t>
            </w:r>
            <w:r>
              <w:rPr>
                <w:rFonts w:hint="eastAsia" w:ascii="宋体" w:hAnsi="宋体" w:cs="宋体"/>
                <w:szCs w:val="21"/>
              </w:rPr>
              <w:t xml:space="preserve">措施</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有重大活动，检查评比和节假日保障方案，且具可操作性。方案内容包括上述要求：</w:t>
            </w:r>
            <w:r/>
          </w:p>
          <w:p>
            <w:pPr>
              <w:rPr>
                <w:rFonts w:hint="eastAsia" w:ascii="宋体" w:hAnsi="宋体" w:cs="宋体"/>
                <w:szCs w:val="21"/>
              </w:rPr>
            </w:pPr>
            <w:r>
              <w:rPr>
                <w:rFonts w:hint="eastAsia" w:ascii="宋体" w:hAnsi="宋体" w:cs="宋体"/>
                <w:szCs w:val="21"/>
              </w:rPr>
              <w:t xml:space="preserve">方案针对性、操作性强，计划安排合理的得2分；</w:t>
            </w:r>
            <w:r/>
          </w:p>
          <w:p>
            <w:pPr>
              <w:rPr>
                <w:rFonts w:hint="eastAsia" w:ascii="宋体" w:hAnsi="宋体" w:cs="宋体"/>
                <w:szCs w:val="21"/>
              </w:rPr>
            </w:pPr>
            <w:r>
              <w:rPr>
                <w:rFonts w:hint="eastAsia" w:ascii="宋体" w:hAnsi="宋体" w:cs="宋体"/>
                <w:szCs w:val="21"/>
              </w:rPr>
              <w:t xml:space="preserve">方案针对性、操作性较强，计划安排较为合理的的得</w:t>
            </w:r>
            <w:r>
              <w:rPr>
                <w:rFonts w:hint="eastAsia" w:ascii="宋体" w:hAnsi="宋体" w:cs="宋体"/>
                <w:szCs w:val="21"/>
              </w:rPr>
              <w:t xml:space="preserve">1.5分，</w:t>
            </w:r>
            <w:r/>
          </w:p>
          <w:p>
            <w:pPr>
              <w:rPr>
                <w:rFonts w:hint="eastAsia" w:ascii="宋体" w:hAnsi="宋体" w:cs="宋体"/>
                <w:szCs w:val="21"/>
              </w:rPr>
            </w:pPr>
            <w:r>
              <w:rPr>
                <w:rFonts w:hint="eastAsia" w:ascii="宋体" w:hAnsi="宋体" w:cs="宋体"/>
                <w:szCs w:val="21"/>
              </w:rPr>
              <w:t xml:space="preserve">方案针对性、操作性一般，计划安排不够合理的得0.5分；未提供方案不得分。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根据投标文件进行评审。</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2.11</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作业期间与其他单位、各职能部门的综合协调方案</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ind w:firstLine="28"/>
              <w:jc w:val="left"/>
              <w:rPr>
                <w:rFonts w:hint="eastAsia" w:ascii="宋体" w:hAnsi="宋体" w:cs="宋体"/>
                <w:szCs w:val="21"/>
              </w:rPr>
            </w:pPr>
            <w:r>
              <w:rPr>
                <w:rFonts w:hint="eastAsia" w:ascii="宋体" w:hAnsi="宋体" w:cs="宋体"/>
                <w:szCs w:val="21"/>
              </w:rPr>
              <w:t xml:space="preserve">由评标委员会根据协调方案的合理性、完善性、规范性、清晰性、可操作性较好的得 2分，</w:t>
            </w:r>
            <w:r/>
          </w:p>
          <w:p>
            <w:pPr>
              <w:ind w:firstLine="28"/>
              <w:jc w:val="left"/>
              <w:rPr>
                <w:rFonts w:hint="eastAsia" w:ascii="宋体" w:hAnsi="宋体" w:cs="宋体"/>
                <w:szCs w:val="21"/>
              </w:rPr>
            </w:pPr>
            <w:r>
              <w:rPr>
                <w:rFonts w:hint="eastAsia" w:ascii="宋体" w:hAnsi="宋体" w:cs="宋体"/>
                <w:szCs w:val="21"/>
              </w:rPr>
              <w:t xml:space="preserve">合理性、完善性、规范性、清晰性、可操作性一般的得1 分，</w:t>
            </w:r>
            <w:r/>
          </w:p>
          <w:p>
            <w:pPr>
              <w:ind w:firstLine="28"/>
              <w:jc w:val="left"/>
              <w:rPr>
                <w:rFonts w:hint="eastAsia" w:ascii="宋体" w:hAnsi="宋体" w:cs="宋体"/>
                <w:szCs w:val="21"/>
              </w:rPr>
            </w:pPr>
            <w:r>
              <w:rPr>
                <w:rFonts w:hint="eastAsia" w:ascii="宋体" w:hAnsi="宋体" w:cs="宋体"/>
                <w:szCs w:val="21"/>
              </w:rPr>
              <w:t xml:space="preserve">合理性、完善性、规范性、清晰性、可操作性较差的得0.5 分；</w:t>
            </w:r>
            <w:r/>
          </w:p>
          <w:p>
            <w:pPr>
              <w:ind w:firstLine="28"/>
              <w:jc w:val="left"/>
              <w:rPr>
                <w:rFonts w:hint="eastAsia" w:ascii="宋体" w:hAnsi="宋体" w:cs="宋体"/>
                <w:szCs w:val="21"/>
              </w:rPr>
            </w:pPr>
            <w:r>
              <w:rPr>
                <w:rFonts w:hint="eastAsia" w:ascii="宋体" w:hAnsi="宋体" w:cs="宋体"/>
                <w:szCs w:val="21"/>
              </w:rPr>
              <w:t xml:space="preserve">未提供或提供不完整的不得分。</w:t>
            </w:r>
            <w:r/>
          </w:p>
        </w:tc>
        <w:tc>
          <w:tcPr>
            <w:gridSpan w:val="2"/>
            <w:tcW w:w="1147" w:type="pct"/>
            <w:vAlign w:val="center"/>
            <w:textDirection w:val="lrTb"/>
            <w:noWrap w:val="false"/>
          </w:tcPr>
          <w:p>
            <w:pPr>
              <w:jc w:val="left"/>
              <w:rPr>
                <w:rFonts w:hint="eastAsia" w:ascii="宋体" w:hAnsi="宋体" w:cs="宋体"/>
                <w:b/>
                <w:bCs/>
                <w:szCs w:val="21"/>
              </w:rPr>
            </w:pPr>
            <w:r>
              <w:rPr>
                <w:rFonts w:hint="eastAsia" w:ascii="宋体" w:hAnsi="宋体" w:cs="宋体"/>
                <w:szCs w:val="21"/>
              </w:rPr>
              <w:t xml:space="preserve">根据投标文件进行评审。</w:t>
            </w:r>
            <w:r/>
          </w:p>
        </w:tc>
      </w:tr>
      <w:tr>
        <w:trPr>
          <w:trHeight w:val="531"/>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商务分</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60</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r>
            <w:r/>
          </w:p>
        </w:tc>
      </w:tr>
      <w:tr>
        <w:trPr/>
        <w:tc>
          <w:tcPr>
            <w:tcW w:w="349" w:type="pct"/>
            <w:vAlign w:val="center"/>
            <w:vMerge w:val="restart"/>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3.1</w:t>
            </w:r>
            <w:r/>
          </w:p>
        </w:tc>
        <w:tc>
          <w:tcPr>
            <w:tcW w:w="609" w:type="pct"/>
            <w:vAlign w:val="center"/>
            <w:vMerge w:val="restart"/>
            <w:textDirection w:val="lrTb"/>
            <w:noWrap w:val="false"/>
          </w:tcPr>
          <w:p>
            <w:pPr>
              <w:ind w:firstLine="28"/>
              <w:jc w:val="center"/>
              <w:rPr>
                <w:rFonts w:hint="eastAsia" w:ascii="宋体" w:hAnsi="宋体" w:cs="宋体"/>
                <w:szCs w:val="21"/>
              </w:rPr>
            </w:pPr>
            <w:r>
              <w:rPr>
                <w:rFonts w:hint="eastAsia" w:ascii="宋体" w:hAnsi="宋体" w:cs="宋体"/>
                <w:szCs w:val="21"/>
              </w:rPr>
              <w:t xml:space="preserve">企业实力</w:t>
            </w:r>
            <w:r/>
          </w:p>
        </w:tc>
        <w:tc>
          <w:tcPr>
            <w:tcW w:w="350" w:type="pct"/>
            <w:vAlign w:val="center"/>
            <w:vMerge w:val="restart"/>
            <w:textDirection w:val="lrTb"/>
            <w:noWrap w:val="false"/>
          </w:tcPr>
          <w:p>
            <w:pPr>
              <w:ind w:firstLine="28"/>
              <w:jc w:val="center"/>
              <w:rPr>
                <w:rFonts w:hint="eastAsia" w:ascii="宋体" w:hAnsi="宋体" w:cs="宋体"/>
                <w:szCs w:val="21"/>
              </w:rPr>
            </w:pPr>
            <w:r>
              <w:rPr>
                <w:rFonts w:hint="eastAsia" w:ascii="宋体" w:hAnsi="宋体" w:cs="宋体"/>
                <w:szCs w:val="21"/>
              </w:rPr>
              <w:t xml:space="preserve">6</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1）投标供应商具有有效期内的质量管理体系认证证书、环境管理体系认证证书、职业健康安全管理体系认证证书， 认证范围均须包含“绿化养护服务”、“城市道路垃圾清扫、收集”及“环卫设施的管护服务”类似内容。有一项得1分，本项最高3分</w:t>
            </w:r>
            <w:r/>
          </w:p>
          <w:p>
            <w:pPr>
              <w:rPr>
                <w:rFonts w:eastAsia="楷体_GB2312"/>
              </w:rPr>
            </w:pPr>
            <w:r>
              <w:rPr>
                <w:rFonts w:hint="eastAsia" w:ascii="宋体" w:hAnsi="宋体" w:cs="宋体"/>
                <w:szCs w:val="21"/>
              </w:rPr>
              <w:t xml:space="preserve">2）投标供应商具有有效期内的《城市生活垃圾经营性清扫、收集、运输服务许可证》的得1分。</w:t>
            </w:r>
            <w:r/>
          </w:p>
        </w:tc>
        <w:tc>
          <w:tcPr>
            <w:gridSpan w:val="2"/>
            <w:tcW w:w="1147" w:type="pct"/>
            <w:vAlign w:val="center"/>
            <w:textDirection w:val="lrTb"/>
            <w:noWrap w:val="false"/>
          </w:tcPr>
          <w:p>
            <w:pPr>
              <w:ind w:left="-38"/>
              <w:jc w:val="center"/>
              <w:rPr>
                <w:rFonts w:hint="eastAsia" w:ascii="宋体" w:hAnsi="宋体" w:cs="宋体"/>
                <w:szCs w:val="21"/>
              </w:rPr>
            </w:pPr>
            <w:r>
              <w:rPr>
                <w:rFonts w:hint="eastAsia" w:ascii="宋体" w:hAnsi="宋体" w:cs="宋体"/>
                <w:szCs w:val="21"/>
              </w:rPr>
              <w:t xml:space="preserve">须提供相应证书扫描件加盖公章，不提供不得分。</w:t>
            </w:r>
            <w:r/>
          </w:p>
        </w:tc>
      </w:tr>
      <w:tr>
        <w:trPr>
          <w:trHeight w:val="1586"/>
        </w:trPr>
        <w:tc>
          <w:tcPr>
            <w:tcW w:w="349" w:type="pct"/>
            <w:vAlign w:val="center"/>
            <w:vMerge w:val="continue"/>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609" w:type="pct"/>
            <w:vAlign w:val="center"/>
            <w:vMerge w:val="continue"/>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350" w:type="pct"/>
            <w:vAlign w:val="center"/>
            <w:vMerge w:val="continue"/>
            <w:textDirection w:val="lrTb"/>
            <w:noWrap w:val="false"/>
          </w:tcPr>
          <w:p>
            <w:pPr>
              <w:ind w:firstLine="28"/>
              <w:jc w:val="center"/>
              <w:rPr>
                <w:rFonts w:hint="eastAsia" w:ascii="宋体" w:hAnsi="宋体" w:cs="宋体"/>
                <w:szCs w:val="21"/>
              </w:rPr>
            </w:pPr>
            <w:r>
              <w:rPr>
                <w:rFonts w:hint="eastAsia" w:ascii="宋体" w:hAnsi="宋体" w:cs="宋体"/>
                <w:szCs w:val="21"/>
              </w:rPr>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自2022年8月1日以来，投标供应商（含投标供应商参加的项目）获得过区级及以上政府部门颁发的荣誉证书的，有一个得1分，本项最高得2分。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须提供获奖证明材料扫描件加盖公章，时间以获奖证明材料上所载时间为准，不提供不得分。</w:t>
            </w:r>
            <w:r/>
          </w:p>
        </w:tc>
      </w:tr>
      <w:tr>
        <w:trPr>
          <w:trHeight w:val="3601"/>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3.2</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城市道路环卫作业、绿化养护从业经验</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9</w:t>
            </w:r>
            <w:r/>
          </w:p>
        </w:tc>
        <w:tc>
          <w:tcPr>
            <w:tcW w:w="2544" w:type="pct"/>
            <w:vAlign w:val="center"/>
            <w:textDirection w:val="lrTb"/>
            <w:noWrap w:val="false"/>
          </w:tcPr>
          <w:p>
            <w:pPr>
              <w:pStyle w:val="1026"/>
              <w:numPr>
                <w:ilvl w:val="0"/>
                <w:numId w:val="8"/>
              </w:numPr>
              <w:rPr>
                <w:rFonts w:hint="eastAsia" w:ascii="宋体" w:hAnsi="宋体" w:cs="宋体"/>
                <w:szCs w:val="21"/>
              </w:rPr>
            </w:pPr>
            <w:r>
              <w:rPr>
                <w:rFonts w:hint="eastAsia" w:ascii="宋体" w:hAnsi="宋体" w:cs="宋体"/>
                <w:szCs w:val="21"/>
              </w:rPr>
              <w:t xml:space="preserve">自2022年11月1日以来（以合同签订日期为准）承担过类似绿化养护服务项目业绩的（养护面积≥80万平方米），每提供一份合同得1分，本项最高得3分。</w:t>
            </w:r>
            <w:r/>
          </w:p>
          <w:p>
            <w:pPr>
              <w:pStyle w:val="1026"/>
              <w:numPr>
                <w:ilvl w:val="0"/>
                <w:numId w:val="8"/>
              </w:numPr>
              <w:rPr>
                <w:rFonts w:hint="eastAsia" w:ascii="宋体" w:hAnsi="宋体" w:cs="宋体"/>
                <w:szCs w:val="21"/>
              </w:rPr>
            </w:pPr>
            <w:r>
              <w:rPr>
                <w:rFonts w:hint="eastAsia" w:ascii="宋体" w:hAnsi="宋体" w:cs="宋体"/>
                <w:szCs w:val="21"/>
              </w:rPr>
              <w:t xml:space="preserve">自2022年11月1日以来（以合同签订日期为准）承担过类似城市环卫作业业绩的，合同</w:t>
            </w:r>
            <w:r>
              <w:rPr>
                <w:rFonts w:hint="eastAsia" w:ascii="宋体" w:hAnsi="宋体" w:cs="宋体"/>
                <w:szCs w:val="21"/>
              </w:rPr>
              <w:t xml:space="preserve">面积</w:t>
            </w:r>
            <w:r>
              <w:rPr>
                <w:rFonts w:hint="eastAsia" w:ascii="宋体" w:hAnsi="宋体" w:cs="宋体"/>
                <w:szCs w:val="21"/>
              </w:rPr>
              <w:t xml:space="preserve">（保洁面积≥140万平方米），每提供一份合同得1分，本项最高得3分。</w:t>
            </w:r>
            <w:r/>
          </w:p>
          <w:p>
            <w:pPr>
              <w:pStyle w:val="1026"/>
              <w:numPr>
                <w:ilvl w:val="0"/>
                <w:numId w:val="8"/>
              </w:numPr>
              <w:rPr>
                <w:rFonts w:hint="eastAsia" w:ascii="宋体" w:hAnsi="宋体" w:cs="宋体"/>
                <w:szCs w:val="21"/>
              </w:rPr>
            </w:pPr>
            <w:r>
              <w:rPr>
                <w:rFonts w:hint="eastAsia" w:ascii="宋体" w:hAnsi="宋体" w:cs="宋体"/>
                <w:szCs w:val="21"/>
              </w:rPr>
              <w:t xml:space="preserve">自2022年11月1日以来（以合同签订日期为准）承担过类似</w:t>
            </w:r>
            <w:r>
              <w:rPr>
                <w:rFonts w:hint="eastAsia" w:ascii="宋体" w:hAnsi="宋体" w:cs="宋体"/>
                <w:szCs w:val="21"/>
              </w:rPr>
              <w:t xml:space="preserve">天气</w:t>
            </w:r>
            <w:r>
              <w:rPr>
                <w:rFonts w:hint="eastAsia" w:ascii="宋体" w:hAnsi="宋体" w:cs="宋体"/>
                <w:szCs w:val="21"/>
              </w:rPr>
              <w:t xml:space="preserve">应急服务业绩的，每提供一份合同得1分，本项最高得3分。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业绩均须提供合同、</w:t>
            </w:r>
            <w:r>
              <w:rPr>
                <w:rFonts w:hint="eastAsia" w:ascii="宋体" w:hAnsi="宋体" w:cs="宋体"/>
                <w:szCs w:val="21"/>
              </w:rPr>
              <w:t xml:space="preserve">任意一张该合同对应的发票（发票时间为公告发布前）</w:t>
            </w:r>
            <w:r>
              <w:rPr>
                <w:rFonts w:hint="eastAsia" w:ascii="宋体" w:hAnsi="宋体" w:cs="宋体"/>
                <w:szCs w:val="21"/>
              </w:rPr>
              <w:t xml:space="preserve">，以上材料提供扫描件加盖公章，不提供不得分。时间以合同签订时间为准。</w:t>
            </w:r>
            <w:r/>
          </w:p>
        </w:tc>
      </w:tr>
      <w:tr>
        <w:trPr>
          <w:trHeight w:val="90"/>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3.3</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环卫作业负责人</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1</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拟投入环卫作业负责人为环境专业全日制本科得1分，最高得1分，限评一人。</w:t>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注：1）提供项目负责人毕业证书</w:t>
            </w:r>
            <w:r/>
          </w:p>
        </w:tc>
        <w:tc>
          <w:tcPr>
            <w:gridSpan w:val="2"/>
            <w:tcW w:w="1147" w:type="pct"/>
            <w:vAlign w:val="center"/>
            <w:vMerge w:val="restart"/>
            <w:textDirection w:val="lrTb"/>
            <w:noWrap w:val="false"/>
          </w:tcPr>
          <w:p>
            <w:pPr>
              <w:ind w:left="-38"/>
              <w:rPr>
                <w:rFonts w:hint="eastAsia" w:ascii="宋体" w:hAnsi="宋体" w:cs="宋体"/>
                <w:szCs w:val="21"/>
              </w:rPr>
            </w:pPr>
            <w:r>
              <w:rPr>
                <w:rFonts w:hint="eastAsia" w:ascii="宋体" w:hAnsi="宋体" w:cs="宋体"/>
                <w:szCs w:val="21"/>
              </w:rPr>
              <w:t xml:space="preserve">提供相关证书或政府官方网站公示的扫描件加盖公章、投标人为拟投入人员连续三个月（2025年9-11月）缴纳社会保险的证明材料扫描件加盖公章。</w:t>
            </w:r>
            <w:r/>
          </w:p>
        </w:tc>
      </w:tr>
      <w:tr>
        <w:trPr>
          <w:trHeight w:val="90"/>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3.4</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绿化养护负责人</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2</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拟投入绿化管养负责人具有中级园林专业职称的得1分；拟投入绿化管养负责人具有高级园林专业职称得2分，最高得2分，限评一人。</w:t>
            </w:r>
            <w:r/>
          </w:p>
          <w:p>
            <w:pPr>
              <w:rPr>
                <w:rFonts w:hint="eastAsia" w:ascii="宋体" w:hAnsi="宋体" w:cs="宋体"/>
                <w:szCs w:val="21"/>
              </w:rPr>
            </w:pPr>
            <w:r>
              <w:rPr>
                <w:rFonts w:hint="eastAsia" w:ascii="宋体" w:hAnsi="宋体" w:cs="宋体"/>
                <w:szCs w:val="21"/>
              </w:rPr>
              <w:t xml:space="preserve">注：1）提供项目负责人专业职称证书（如职称证书中无法反映园林类专业，则须同时提供园林绿化类毕业证书（或学历证书）。园林绿化及相关专业：园林（含园林规划设计、园林植物、风景园林、园林绿化）、园艺、城市规划、景观、植物（含植保、森保）、风景旅游、环境艺术。）</w:t>
            </w:r>
            <w:r/>
          </w:p>
        </w:tc>
        <w:tc>
          <w:tcPr>
            <w:gridSpan w:val="2"/>
            <w:tcW w:w="1147" w:type="pct"/>
            <w:vAlign w:val="center"/>
            <w:vMerge w:val="continue"/>
            <w:textDirection w:val="lrTb"/>
            <w:noWrap w:val="false"/>
          </w:tcPr>
          <w:p>
            <w:pPr>
              <w:ind w:left="-38"/>
              <w:rPr>
                <w:rFonts w:hint="eastAsia" w:ascii="宋体" w:hAnsi="宋体" w:cs="宋体"/>
                <w:szCs w:val="21"/>
              </w:rPr>
            </w:pPr>
            <w:r>
              <w:rPr>
                <w:rFonts w:hint="eastAsia" w:ascii="宋体" w:hAnsi="宋体" w:cs="宋体"/>
                <w:szCs w:val="21"/>
              </w:rPr>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3.5</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绿化养护项目组成人员配置</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8</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除绿化管养负责人外</w:t>
            </w:r>
            <w:r/>
          </w:p>
          <w:p>
            <w:pPr>
              <w:numPr>
                <w:ilvl w:val="0"/>
                <w:numId w:val="9"/>
              </w:numPr>
              <w:rPr>
                <w:rFonts w:hint="eastAsia" w:ascii="宋体" w:hAnsi="宋体" w:cs="宋体"/>
                <w:szCs w:val="21"/>
              </w:rPr>
            </w:pPr>
            <w:r>
              <w:rPr>
                <w:rFonts w:hint="eastAsia" w:ascii="宋体" w:hAnsi="宋体" w:cs="宋体"/>
                <w:szCs w:val="21"/>
              </w:rPr>
              <w:t xml:space="preserve">具有中级绿化工证书，有一个得0.5分；具有高级绿化工证书，有一个得1分，最多得2分，限评两人。</w:t>
            </w:r>
            <w:r/>
          </w:p>
          <w:p>
            <w:pPr>
              <w:numPr>
                <w:ilvl w:val="0"/>
                <w:numId w:val="9"/>
              </w:numPr>
              <w:rPr>
                <w:rFonts w:hint="eastAsia" w:ascii="宋体" w:hAnsi="宋体" w:cs="宋体"/>
                <w:szCs w:val="21"/>
              </w:rPr>
            </w:pPr>
            <w:r>
              <w:rPr>
                <w:rFonts w:hint="eastAsia" w:ascii="宋体" w:hAnsi="宋体" w:cs="宋体"/>
                <w:szCs w:val="21"/>
              </w:rPr>
              <w:t xml:space="preserve">具有花卉园艺师中级工证书，有一个得1分；具有花卉园艺师高级工证书有一个得2分，最多得2分。限评一人。</w:t>
            </w:r>
            <w:r/>
          </w:p>
          <w:p>
            <w:pPr>
              <w:numPr>
                <w:ilvl w:val="0"/>
                <w:numId w:val="9"/>
              </w:numPr>
              <w:rPr>
                <w:rFonts w:hint="eastAsia" w:ascii="宋体" w:hAnsi="宋体" w:cs="宋体"/>
                <w:szCs w:val="21"/>
              </w:rPr>
            </w:pPr>
            <w:r>
              <w:rPr>
                <w:rFonts w:hint="eastAsia" w:ascii="宋体" w:hAnsi="宋体" w:cs="宋体"/>
                <w:szCs w:val="21"/>
              </w:rPr>
              <w:t xml:space="preserve">具有林木种苗中级工证书，有一个得1分；具有林木种苗高级工证书有一个得2分，最多得2分。限评一人。</w:t>
            </w:r>
            <w:r/>
          </w:p>
          <w:p>
            <w:pPr>
              <w:rPr>
                <w:rFonts w:hint="eastAsia" w:ascii="宋体" w:hAnsi="宋体" w:cs="宋体"/>
                <w:szCs w:val="21"/>
              </w:rPr>
            </w:pPr>
            <w:r>
              <w:rPr>
                <w:rFonts w:hint="eastAsia" w:ascii="宋体" w:hAnsi="宋体" w:cs="宋体"/>
                <w:szCs w:val="21"/>
              </w:rPr>
              <w:t xml:space="preserve">以上1-3中项目团队人员，同一人员不可累积计算得分。</w:t>
            </w:r>
            <w:r/>
          </w:p>
          <w:p>
            <w:pPr>
              <w:rPr>
                <w:rFonts w:hint="eastAsia" w:ascii="宋体" w:hAnsi="宋体" w:cs="宋体"/>
                <w:szCs w:val="21"/>
              </w:rPr>
            </w:pPr>
            <w:r>
              <w:rPr>
                <w:rFonts w:hint="eastAsia" w:ascii="宋体" w:hAnsi="宋体" w:cs="宋体"/>
                <w:szCs w:val="21"/>
              </w:rPr>
              <w:t xml:space="preserve">4）具有应急管理部门颁发有效的作业类别含高处作业的证件有一个得1分，最多得2分。限评两人。</w:t>
            </w:r>
            <w:r/>
          </w:p>
          <w:p>
            <w:pPr>
              <w:rPr>
                <w:rFonts w:hint="eastAsia" w:ascii="宋体" w:hAnsi="宋体" w:cs="宋体"/>
                <w:szCs w:val="21"/>
              </w:rPr>
            </w:pPr>
            <w:r>
              <w:rPr>
                <w:rFonts w:hint="eastAsia" w:ascii="宋体" w:hAnsi="宋体" w:cs="宋体"/>
                <w:szCs w:val="21"/>
              </w:rPr>
              <w:t xml:space="preserve">注：高绿化工、高级花卉工人员证书必须为人社或住建部门认可的技能证书（附人社或住建部门网站的查询截图）。登高作业证后附应急管理部网站查询截图。</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提供相关截图、证书扫描件加盖公章，投标人为拟投入人员连续三个月（2025年9-11月）缴纳社会保险的证明材料扫描件加盖公章。</w:t>
            </w:r>
            <w:r/>
          </w:p>
        </w:tc>
      </w:tr>
      <w:tr>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3.6</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安全督查监管人员配置</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4</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除</w:t>
            </w:r>
            <w:r>
              <w:rPr>
                <w:rFonts w:hint="eastAsia" w:ascii="宋体" w:hAnsi="宋体" w:cs="宋体"/>
                <w:szCs w:val="21"/>
              </w:rPr>
              <w:t xml:space="preserve">环卫</w:t>
            </w:r>
            <w:r>
              <w:rPr>
                <w:rFonts w:hint="eastAsia" w:ascii="宋体" w:hAnsi="宋体" w:cs="宋体"/>
                <w:szCs w:val="21"/>
              </w:rPr>
              <w:t xml:space="preserve">作业</w:t>
            </w:r>
            <w:r>
              <w:rPr>
                <w:rFonts w:hint="eastAsia" w:ascii="宋体" w:hAnsi="宋体" w:cs="宋体"/>
                <w:szCs w:val="21"/>
              </w:rPr>
              <w:t xml:space="preserve">负责人</w:t>
            </w:r>
            <w:r>
              <w:rPr>
                <w:rFonts w:hint="eastAsia" w:ascii="宋体" w:hAnsi="宋体" w:cs="宋体"/>
                <w:szCs w:val="21"/>
              </w:rPr>
              <w:t xml:space="preserve">、绿化管养负责人外</w:t>
            </w:r>
            <w:r/>
          </w:p>
          <w:p>
            <w:pPr>
              <w:numPr>
                <w:ilvl w:val="0"/>
                <w:numId w:val="10"/>
              </w:numPr>
              <w:rPr>
                <w:rFonts w:hint="eastAsia" w:ascii="宋体" w:hAnsi="宋体" w:cs="宋体"/>
                <w:szCs w:val="21"/>
              </w:rPr>
            </w:pPr>
            <w:r>
              <w:rPr>
                <w:rFonts w:hint="eastAsia" w:ascii="宋体" w:hAnsi="宋体" w:cs="宋体"/>
                <w:szCs w:val="21"/>
              </w:rPr>
              <w:t xml:space="preserve">为本项目配备专职安全管理人员具备注册安全工程师证书的，有一名得2分，最高得2分。</w:t>
            </w:r>
            <w:r/>
          </w:p>
          <w:p>
            <w:pPr>
              <w:numPr>
                <w:ilvl w:val="0"/>
                <w:numId w:val="10"/>
              </w:numPr>
              <w:rPr>
                <w:rFonts w:hint="eastAsia" w:ascii="宋体" w:hAnsi="宋体" w:cs="宋体"/>
                <w:szCs w:val="21"/>
              </w:rPr>
            </w:pPr>
            <w:r>
              <w:rPr>
                <w:rFonts w:hint="eastAsia" w:ascii="宋体" w:hAnsi="宋体" w:cs="宋体"/>
                <w:szCs w:val="21"/>
              </w:rPr>
              <w:t xml:space="preserve">为本项目配备绿化养护专职安全管理人员具备安全员C证的，有一名的1分，最高得1分。</w:t>
            </w:r>
            <w:r/>
          </w:p>
          <w:p>
            <w:pPr>
              <w:rPr>
                <w:rFonts w:hint="eastAsia" w:ascii="宋体" w:hAnsi="宋体" w:cs="宋体"/>
                <w:szCs w:val="21"/>
              </w:rPr>
            </w:pPr>
            <w:r>
              <w:rPr>
                <w:rFonts w:hint="eastAsia" w:ascii="宋体" w:hAnsi="宋体" w:cs="宋体"/>
                <w:szCs w:val="21"/>
              </w:rPr>
              <w:t xml:space="preserve">3）为本项目配备环卫专职安全管理人员</w:t>
            </w:r>
            <w:r>
              <w:rPr>
                <w:rFonts w:hint="eastAsia" w:ascii="宋体" w:hAnsi="宋体" w:cs="宋体"/>
                <w:sz w:val="20"/>
                <w:szCs w:val="20"/>
              </w:rPr>
              <w:t xml:space="preserve">具备行业主管部门颁发的安全培训证书，</w:t>
            </w:r>
            <w:r>
              <w:rPr>
                <w:rFonts w:hint="eastAsia" w:ascii="宋体" w:hAnsi="宋体" w:cs="宋体"/>
                <w:szCs w:val="21"/>
              </w:rPr>
              <w:t xml:space="preserve">有一名得1分，最高得1分。</w:t>
            </w:r>
            <w:r/>
          </w:p>
        </w:tc>
        <w:tc>
          <w:tcPr>
            <w:gridSpan w:val="2"/>
            <w:tcW w:w="1147" w:type="pct"/>
            <w:vAlign w:val="center"/>
            <w:textDirection w:val="lrTb"/>
            <w:noWrap w:val="false"/>
          </w:tcPr>
          <w:p>
            <w:pPr>
              <w:ind w:left="-38"/>
              <w:rPr>
                <w:rFonts w:hint="eastAsia" w:ascii="宋体" w:hAnsi="宋体" w:cs="宋体"/>
                <w:szCs w:val="21"/>
              </w:rPr>
            </w:pPr>
            <w:r>
              <w:rPr>
                <w:rFonts w:hint="eastAsia" w:ascii="宋体" w:hAnsi="宋体" w:cs="宋体"/>
                <w:szCs w:val="21"/>
              </w:rPr>
              <w:t xml:space="preserve">提供安全员资格证书或安全培训合格证明材料扫描件加盖公章，投标人为拟投入人员连续三个月（2025年9-11月）缴纳社会保险的证明材料扫描件加盖公章。</w:t>
            </w:r>
            <w:r/>
          </w:p>
        </w:tc>
      </w:tr>
      <w:tr>
        <w:trPr>
          <w:trHeight w:val="3146"/>
        </w:trPr>
        <w:tc>
          <w:tcPr>
            <w:tcW w:w="34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3.7</w:t>
            </w:r>
            <w:r/>
          </w:p>
        </w:tc>
        <w:tc>
          <w:tcPr>
            <w:tcW w:w="609"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拟配备机械</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30</w:t>
            </w:r>
            <w:r/>
          </w:p>
        </w:tc>
        <w:tc>
          <w:tcPr>
            <w:tcW w:w="2544" w:type="pct"/>
            <w:vAlign w:val="center"/>
            <w:textDirection w:val="lrTb"/>
            <w:noWrap w:val="false"/>
          </w:tcPr>
          <w:p>
            <w:pPr>
              <w:rPr>
                <w:rFonts w:hint="eastAsia" w:ascii="宋体" w:hAnsi="宋体" w:cs="宋体"/>
                <w:szCs w:val="21"/>
              </w:rPr>
            </w:pPr>
            <w:r>
              <w:rPr>
                <w:rFonts w:hint="eastAsia" w:ascii="宋体" w:hAnsi="宋体" w:cs="宋体"/>
                <w:szCs w:val="21"/>
              </w:rPr>
              <w:t xml:space="preserve">投标供应商在满足招标文件中采购需求要求的表格中机械设备最低车辆数量要求基础上（不满足采购需求最低车辆配置要求本项不得分）：</w:t>
            </w:r>
            <w:r/>
          </w:p>
          <w:p>
            <w:pPr>
              <w:ind w:left="210" w:hanging="210"/>
              <w:rPr>
                <w:rFonts w:hint="eastAsia" w:ascii="宋体" w:hAnsi="宋体" w:cs="宋体"/>
                <w:szCs w:val="21"/>
              </w:rPr>
            </w:pPr>
            <w:r>
              <w:rPr>
                <w:rFonts w:hint="eastAsia" w:ascii="宋体" w:hAnsi="宋体" w:cs="宋体"/>
                <w:szCs w:val="21"/>
              </w:rPr>
              <w:t xml:space="preserve">1）每增加1辆自有洒水车(行驶证核定载质量≥10吨)：加1分，限评3辆，本小项最多得3分。</w:t>
            </w:r>
            <w:r/>
          </w:p>
          <w:p>
            <w:pPr>
              <w:rPr>
                <w:rFonts w:hint="eastAsia" w:ascii="宋体" w:hAnsi="宋体" w:cs="宋体"/>
                <w:szCs w:val="21"/>
              </w:rPr>
            </w:pPr>
            <w:r>
              <w:rPr>
                <w:rFonts w:hint="eastAsia" w:ascii="宋体" w:hAnsi="宋体" w:cs="宋体"/>
                <w:szCs w:val="21"/>
              </w:rPr>
              <w:t xml:space="preserve">2）每增加1辆自有</w:t>
            </w:r>
            <w:r>
              <w:rPr>
                <w:rFonts w:hint="eastAsia" w:ascii="宋体" w:hAnsi="宋体" w:cs="宋体"/>
                <w:spacing w:val="2"/>
                <w:szCs w:val="21"/>
              </w:rPr>
              <w:t xml:space="preserve">洗扫车</w:t>
            </w:r>
            <w:r>
              <w:rPr>
                <w:rFonts w:hint="eastAsia" w:ascii="宋体" w:hAnsi="宋体" w:cs="宋体"/>
                <w:szCs w:val="21"/>
              </w:rPr>
              <w:t xml:space="preserve">(行驶证核定载质量≥6吨)：加 1分，限评2辆，本小项最多得2分。</w:t>
            </w:r>
            <w:r/>
          </w:p>
          <w:p>
            <w:pPr>
              <w:rPr>
                <w:rFonts w:hint="eastAsia" w:ascii="宋体" w:hAnsi="宋体" w:cs="宋体"/>
                <w:szCs w:val="21"/>
              </w:rPr>
            </w:pPr>
            <w:r>
              <w:rPr>
                <w:rFonts w:hint="eastAsia" w:ascii="宋体" w:hAnsi="宋体" w:cs="宋体"/>
                <w:szCs w:val="21"/>
              </w:rPr>
              <w:t xml:space="preserve">3）每增加1辆自有新能源环卫重型机械化作业车辆(行驶证核定载质量≥8吨)：加1分，限评3辆，本小项最多得3分。</w:t>
            </w:r>
            <w:r/>
          </w:p>
          <w:p>
            <w:pPr>
              <w:rPr>
                <w:rFonts w:hint="eastAsia" w:ascii="宋体" w:hAnsi="宋体" w:cs="宋体"/>
                <w:szCs w:val="21"/>
              </w:rPr>
            </w:pPr>
            <w:r>
              <w:rPr>
                <w:rFonts w:hint="eastAsia" w:ascii="宋体" w:hAnsi="宋体" w:cs="宋体"/>
                <w:szCs w:val="21"/>
              </w:rPr>
              <w:t xml:space="preserve">4）每增加1辆自有运输车辆(行驶证核定载质量≥</w:t>
            </w:r>
            <w:r>
              <w:rPr>
                <w:rFonts w:hint="eastAsia" w:ascii="宋体" w:hAnsi="宋体" w:cs="宋体"/>
                <w:szCs w:val="21"/>
              </w:rPr>
              <w:t xml:space="preserve">13吨)：加1分，限评3辆，本小项最多得3分。</w:t>
            </w:r>
            <w:r/>
          </w:p>
          <w:p>
            <w:pPr>
              <w:rPr>
                <w:rFonts w:hint="eastAsia" w:ascii="宋体" w:hAnsi="宋体" w:cs="宋体"/>
                <w:szCs w:val="21"/>
              </w:rPr>
            </w:pPr>
            <w:r>
              <w:rPr>
                <w:rFonts w:hint="eastAsia" w:ascii="宋体" w:hAnsi="宋体" w:cs="宋体"/>
                <w:szCs w:val="21"/>
              </w:rPr>
              <w:t xml:space="preserve">5）每增加1辆自有吸污车(行驶证核定载质量≥9吨)：加1分，限评2辆，本小项最多得2分。</w:t>
            </w:r>
            <w:r/>
          </w:p>
          <w:p>
            <w:pPr>
              <w:pStyle w:val="1026"/>
              <w:rPr>
                <w:rFonts w:hint="eastAsia" w:ascii="宋体" w:hAnsi="宋体" w:cs="宋体"/>
                <w:szCs w:val="21"/>
              </w:rPr>
            </w:pPr>
            <w:r>
              <w:rPr>
                <w:rFonts w:hint="eastAsia" w:ascii="宋体" w:hAnsi="宋体" w:cs="宋体"/>
                <w:szCs w:val="21"/>
              </w:rPr>
              <w:t xml:space="preserve">6）每增加1辆自有雾炮车(行驶证核定载质量≥8吨)：加1分，限评3辆，本小项最多得3分。</w:t>
            </w:r>
            <w:r/>
          </w:p>
          <w:p>
            <w:pPr>
              <w:pStyle w:val="1026"/>
              <w:rPr>
                <w:rFonts w:hint="eastAsia" w:ascii="宋体" w:hAnsi="宋体" w:cs="宋体"/>
                <w:szCs w:val="21"/>
              </w:rPr>
            </w:pPr>
            <w:r>
              <w:rPr>
                <w:rFonts w:hint="eastAsia" w:ascii="宋体" w:hAnsi="宋体" w:cs="宋体"/>
                <w:szCs w:val="21"/>
              </w:rPr>
              <w:t xml:space="preserve">7）每增加1辆自有电动护栏内侧洗扫车( 车身尺寸(mm)：≤3800*1300*2200)：加1分，限评3辆，本小项最多得3分。</w:t>
            </w:r>
            <w:r/>
          </w:p>
          <w:p>
            <w:pPr>
              <w:pStyle w:val="1026"/>
              <w:rPr>
                <w:rFonts w:hint="eastAsia" w:ascii="宋体" w:hAnsi="宋体" w:cs="宋体"/>
                <w:szCs w:val="21"/>
              </w:rPr>
            </w:pPr>
            <w:r>
              <w:rPr>
                <w:rFonts w:hint="eastAsia" w:ascii="宋体" w:hAnsi="宋体" w:cs="宋体"/>
                <w:szCs w:val="21"/>
              </w:rPr>
              <w:t xml:space="preserve">8）每增加1台自有车载融雪撒盐机(容量≥5m³)：加1分，限评3台，本小项最多得3分。</w:t>
            </w:r>
            <w:r/>
          </w:p>
          <w:p>
            <w:pPr>
              <w:rPr>
                <w:rFonts w:hint="eastAsia" w:ascii="宋体" w:hAnsi="宋体" w:cs="宋体"/>
                <w:szCs w:val="21"/>
              </w:rPr>
            </w:pPr>
            <w:r>
              <w:rPr>
                <w:rFonts w:hint="eastAsia" w:ascii="宋体" w:hAnsi="宋体" w:cs="宋体"/>
                <w:szCs w:val="21"/>
              </w:rPr>
              <w:t xml:space="preserve">9）每增加1台自有除雪铲(除雪宽度≥3.5m)：加1分，限评4台，本小项最多得4分。</w:t>
            </w:r>
            <w:r/>
          </w:p>
          <w:p>
            <w:r>
              <w:rPr>
                <w:rFonts w:hint="eastAsia" w:ascii="宋体" w:hAnsi="宋体" w:cs="宋体"/>
                <w:szCs w:val="21"/>
              </w:rPr>
              <w:t xml:space="preserve">10）每增加1台自有除雪滚刷(滚刷作业宽度≥3500mm)：加1分，限评4台，本小项最多得4分。</w:t>
            </w:r>
            <w:r/>
          </w:p>
          <w:p>
            <w:pPr>
              <w:pStyle w:val="1026"/>
            </w:pPr>
            <w:r/>
            <w:r/>
          </w:p>
          <w:p>
            <w:pPr>
              <w:ind w:left="-38"/>
            </w:pPr>
            <w:r/>
            <w:r/>
          </w:p>
        </w:tc>
        <w:tc>
          <w:tcPr>
            <w:gridSpan w:val="2"/>
            <w:tcW w:w="1147" w:type="pct"/>
            <w:vAlign w:val="center"/>
            <w:textDirection w:val="lrTb"/>
            <w:noWrap w:val="false"/>
          </w:tcPr>
          <w:p>
            <w:pPr>
              <w:rPr>
                <w:rFonts w:hint="eastAsia" w:ascii="宋体" w:hAnsi="宋体" w:cs="宋体"/>
                <w:szCs w:val="21"/>
              </w:rPr>
            </w:pPr>
            <w:r>
              <w:rPr>
                <w:rFonts w:hint="eastAsia" w:ascii="宋体" w:hAnsi="宋体" w:cs="宋体"/>
                <w:szCs w:val="21"/>
              </w:rPr>
              <w:t xml:space="preserve">注：1）所有车辆/装备须提供照片、购置发票及购销合同，车辆还须提供车辆登记证、车辆行驶证，缺一项不得分，以上登记证、行驶证、购置发票及购销合同提供扫描件加盖公章，且车辆/设备须符合采购需求中车辆/装备配置基</w:t>
            </w:r>
            <w:r>
              <w:rPr>
                <w:rFonts w:hint="eastAsia" w:ascii="宋体" w:hAnsi="宋体" w:cs="宋体"/>
                <w:szCs w:val="21"/>
              </w:rPr>
              <w:t xml:space="preserve">本要求；</w:t>
            </w:r>
            <w:r/>
          </w:p>
          <w:p>
            <w:pPr>
              <w:rPr>
                <w:rFonts w:hint="eastAsia" w:ascii="宋体" w:hAnsi="宋体" w:cs="宋体"/>
                <w:szCs w:val="21"/>
              </w:rPr>
            </w:pPr>
            <w:r>
              <w:rPr>
                <w:rFonts w:hint="eastAsia" w:ascii="宋体" w:hAnsi="宋体" w:cs="宋体"/>
                <w:szCs w:val="21"/>
              </w:rPr>
              <w:t xml:space="preserve">2）如提供的行驶证、发票或购销合同不能反映上述车辆要求的规格及生产能力的则需同时提供其他证明资料以证明拟投入的机械设备车辆满足上述要求的规格及生产能力，否则不得分；</w:t>
            </w:r>
            <w:r/>
          </w:p>
          <w:p>
            <w:pPr>
              <w:ind w:left="-38"/>
              <w:rPr>
                <w:rFonts w:hint="eastAsia" w:ascii="宋体" w:hAnsi="宋体" w:cs="宋体"/>
                <w:szCs w:val="21"/>
              </w:rPr>
            </w:pPr>
            <w:r>
              <w:rPr>
                <w:rFonts w:hint="eastAsia" w:ascii="宋体" w:hAnsi="宋体" w:cs="宋体"/>
                <w:szCs w:val="21"/>
              </w:rPr>
              <w:t xml:space="preserve">3）车辆行驶证上登记所有人须为投标人或企业法定代表人，否则视为租赁车辆。</w:t>
            </w:r>
            <w:r/>
          </w:p>
          <w:p>
            <w:pPr>
              <w:ind w:left="-38"/>
              <w:rPr>
                <w:rFonts w:hint="eastAsia" w:ascii="宋体" w:hAnsi="宋体" w:cs="宋体"/>
                <w:szCs w:val="21"/>
              </w:rPr>
            </w:pPr>
            <w:r>
              <w:rPr>
                <w:rFonts w:hint="eastAsia" w:ascii="宋体" w:hAnsi="宋体" w:cs="宋体"/>
                <w:szCs w:val="21"/>
              </w:rPr>
              <w:t xml:space="preserve">4）租赁车辆（提供租赁协议）和承诺中标后配备车辆（提供承诺函加盖公章，格式自拟）按每个得分点的一半分值赋分。</w:t>
            </w:r>
            <w:r/>
          </w:p>
          <w:p>
            <w:pPr>
              <w:ind w:left="-38"/>
            </w:pPr>
            <w:r>
              <w:rPr>
                <w:rFonts w:hint="eastAsia" w:ascii="宋体" w:hAnsi="宋体" w:cs="宋体"/>
                <w:szCs w:val="21"/>
              </w:rPr>
              <w:t xml:space="preserve">4）同一车辆/设备不重复计分。</w:t>
            </w:r>
            <w:r/>
          </w:p>
        </w:tc>
      </w:tr>
      <w:tr>
        <w:trPr>
          <w:gridAfter w:val="1"/>
        </w:trPr>
        <w:tc>
          <w:tcPr>
            <w:gridSpan w:val="2"/>
            <w:tcW w:w="958"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合计</w:t>
            </w:r>
            <w:r/>
          </w:p>
        </w:tc>
        <w:tc>
          <w:tcPr>
            <w:tcW w:w="350" w:type="pct"/>
            <w:vAlign w:val="center"/>
            <w:textDirection w:val="lrTb"/>
            <w:noWrap w:val="false"/>
          </w:tcPr>
          <w:p>
            <w:pPr>
              <w:ind w:firstLine="28"/>
              <w:jc w:val="center"/>
              <w:rPr>
                <w:rFonts w:hint="eastAsia" w:ascii="宋体" w:hAnsi="宋体" w:cs="宋体"/>
                <w:szCs w:val="21"/>
              </w:rPr>
            </w:pPr>
            <w:r>
              <w:rPr>
                <w:rFonts w:hint="eastAsia" w:ascii="宋体" w:hAnsi="宋体" w:cs="宋体"/>
                <w:szCs w:val="21"/>
              </w:rPr>
              <w:t xml:space="preserve">100</w:t>
            </w:r>
            <w:r/>
          </w:p>
        </w:tc>
        <w:tc>
          <w:tcPr>
            <w:gridSpan w:val="2"/>
            <w:tcW w:w="3508" w:type="pct"/>
            <w:vAlign w:val="center"/>
            <w:textDirection w:val="lrTb"/>
            <w:noWrap w:val="false"/>
          </w:tcPr>
          <w:p>
            <w:pPr>
              <w:rPr>
                <w:rFonts w:hint="eastAsia" w:ascii="宋体" w:hAnsi="宋体" w:cs="宋体"/>
                <w:szCs w:val="21"/>
              </w:rPr>
            </w:pPr>
            <w:r>
              <w:rPr>
                <w:rFonts w:hint="eastAsia" w:ascii="宋体" w:hAnsi="宋体" w:cs="宋体"/>
                <w:szCs w:val="21"/>
              </w:rPr>
            </w:r>
            <w:r/>
          </w:p>
        </w:tc>
      </w:tr>
    </w:tbl>
    <w:p>
      <w:pPr>
        <w:pStyle w:val="1068"/>
        <w:ind w:firstLine="0"/>
        <w:spacing w:line="360" w:lineRule="auto"/>
        <w:rPr>
          <w:rFonts w:hint="eastAsia" w:ascii="宋体" w:hAnsi="宋体" w:cs="宋体"/>
          <w:bCs/>
          <w:sz w:val="24"/>
        </w:rPr>
      </w:pPr>
      <w:r>
        <w:rPr>
          <w:rFonts w:hint="eastAsia" w:ascii="宋体" w:hAnsi="宋体" w:cs="宋体"/>
          <w:bCs/>
          <w:sz w:val="24"/>
        </w:rPr>
      </w:r>
      <w:r/>
    </w:p>
    <w:p>
      <w:pPr>
        <w:pStyle w:val="1068"/>
        <w:ind w:firstLine="0"/>
        <w:spacing w:line="360" w:lineRule="auto"/>
        <w:rPr>
          <w:rFonts w:hint="eastAsia" w:ascii="宋体" w:hAnsi="宋体" w:cs="宋体"/>
          <w:bCs/>
          <w:sz w:val="24"/>
        </w:rPr>
      </w:pPr>
      <w:r>
        <w:rPr>
          <w:rFonts w:hint="eastAsia" w:ascii="宋体" w:hAnsi="宋体" w:cs="宋体"/>
          <w:bCs/>
          <w:sz w:val="24"/>
        </w:rPr>
      </w:r>
      <w:r/>
    </w:p>
    <w:p>
      <w:pPr>
        <w:contextualSpacing/>
        <w:spacing w:line="360" w:lineRule="auto"/>
        <w:rPr>
          <w:rFonts w:hint="eastAsia" w:ascii="宋体" w:hAnsi="宋体" w:cs="宋体"/>
          <w:bCs/>
          <w:sz w:val="24"/>
        </w:rPr>
      </w:pPr>
      <w:r>
        <w:rPr>
          <w:rFonts w:hint="eastAsia" w:ascii="宋体" w:hAnsi="宋体" w:cs="宋体"/>
          <w:bCs/>
          <w:sz w:val="24"/>
        </w:rPr>
      </w:r>
      <w:r/>
    </w:p>
    <w:p>
      <w:pPr>
        <w:contextualSpacing/>
        <w:spacing w:line="360" w:lineRule="auto"/>
        <w:rPr>
          <w:rFonts w:hint="eastAsia" w:ascii="宋体" w:hAnsi="宋体" w:cs="宋体"/>
          <w:bCs/>
          <w:sz w:val="24"/>
        </w:rPr>
      </w:pPr>
      <w:r>
        <w:rPr>
          <w:rFonts w:hint="eastAsia" w:ascii="宋体" w:hAnsi="宋体" w:cs="宋体"/>
          <w:bCs/>
          <w:sz w:val="24"/>
        </w:rPr>
        <w:t xml:space="preserve">注：1.评分细则中要求提供的证明文件及资料等在投标文件中提供并加盖公章，否则不得分。</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2.评审时，未能按以上要求提供相应证明的，不作为评审依据，不得分。</w:t>
      </w:r>
      <w:r/>
    </w:p>
    <w:p>
      <w:pPr>
        <w:pStyle w:val="1068"/>
        <w:ind w:firstLine="0"/>
        <w:spacing w:line="360" w:lineRule="auto"/>
        <w:rPr>
          <w:rFonts w:hint="eastAsia" w:ascii="宋体" w:hAnsi="宋体" w:cs="宋体"/>
          <w:b/>
          <w:sz w:val="28"/>
          <w:szCs w:val="28"/>
        </w:rPr>
      </w:pPr>
      <w:r/>
      <w:bookmarkStart w:id="514" w:name="_Toc19188"/>
      <w:r/>
      <w:bookmarkStart w:id="515" w:name="_Toc2835"/>
      <w:r/>
      <w:bookmarkStart w:id="516" w:name="_Toc14105"/>
      <w:r>
        <w:rPr>
          <w:rFonts w:hint="eastAsia" w:ascii="宋体" w:hAnsi="宋体" w:cs="宋体"/>
          <w:b/>
          <w:sz w:val="28"/>
          <w:szCs w:val="28"/>
        </w:rPr>
        <w:br w:type="page" w:clear="all"/>
      </w:r>
      <w:r/>
    </w:p>
    <w:p>
      <w:pPr>
        <w:pStyle w:val="1020"/>
        <w:ind w:left="343" w:hanging="343"/>
        <w:rPr>
          <w:rFonts w:hint="eastAsia" w:ascii="宋体" w:hAnsi="宋体" w:cs="宋体"/>
        </w:rPr>
      </w:pPr>
      <w:r>
        <w:rPr>
          <w:rFonts w:hint="eastAsia" w:ascii="宋体" w:hAnsi="宋体" w:cs="宋体"/>
        </w:rPr>
        <w:t xml:space="preserve">第五章 </w:t>
      </w:r>
      <w:bookmarkStart w:id="517" w:name="_Hlk212537237"/>
      <w:r>
        <w:rPr>
          <w:rFonts w:hint="eastAsia" w:ascii="宋体" w:hAnsi="宋体" w:cs="宋体"/>
        </w:rPr>
        <w:t xml:space="preserve">采购需求</w:t>
      </w:r>
      <w:bookmarkEnd w:id="514"/>
      <w:r/>
      <w:bookmarkEnd w:id="515"/>
      <w:r/>
      <w:bookmarkEnd w:id="516"/>
      <w:r/>
      <w:r/>
    </w:p>
    <w:p>
      <w:pPr>
        <w:pStyle w:val="1020"/>
        <w:jc w:val="both"/>
        <w:keepLines/>
        <w:keepNext/>
        <w:spacing w:line="240" w:lineRule="auto"/>
        <w:rPr>
          <w:sz w:val="28"/>
          <w:szCs w:val="28"/>
        </w:rPr>
      </w:pPr>
      <w:r>
        <w:rPr>
          <w:rFonts w:hint="eastAsia"/>
          <w:sz w:val="28"/>
          <w:szCs w:val="28"/>
        </w:rPr>
        <w:t xml:space="preserve">一、项目基本情况</w:t>
      </w:r>
      <w:r/>
    </w:p>
    <w:p>
      <w:pPr>
        <w:ind w:firstLine="420"/>
        <w:jc w:val="left"/>
        <w:spacing w:line="420" w:lineRule="exact"/>
        <w:widowControl/>
        <w:rPr>
          <w:rFonts w:hint="eastAsia" w:ascii="宋体" w:hAnsi="宋体" w:cs="宋体" w:eastAsiaTheme="minorEastAsia"/>
          <w:sz w:val="24"/>
        </w:rPr>
      </w:pPr>
      <w:r>
        <w:rPr>
          <w:rFonts w:hint="eastAsia" w:ascii="宋体" w:hAnsi="宋体"/>
        </w:rPr>
        <w:t xml:space="preserve">1、项目名称：奔牛镇环卫作业及绿化养护服务项目</w:t>
      </w:r>
      <w:r/>
    </w:p>
    <w:p>
      <w:pPr>
        <w:jc w:val="left"/>
        <w:spacing w:line="420" w:lineRule="exact"/>
        <w:widowControl/>
        <w:rPr>
          <w:rFonts w:hint="eastAsia" w:ascii="宋体" w:hAnsi="宋体" w:cs="宋体"/>
          <w:sz w:val="24"/>
        </w:rPr>
      </w:pPr>
      <w:r>
        <w:rPr>
          <w:rFonts w:hint="eastAsia" w:ascii="宋体" w:hAnsi="宋体"/>
          <w:b/>
          <w:bCs/>
        </w:rPr>
        <w:t xml:space="preserve">    2、预算总金额：2370万元</w:t>
      </w:r>
      <w:r/>
    </w:p>
    <w:p>
      <w:pPr>
        <w:ind w:firstLine="422"/>
        <w:jc w:val="left"/>
        <w:spacing w:line="420" w:lineRule="exact"/>
        <w:widowControl/>
        <w:rPr>
          <w:rFonts w:hint="eastAsia" w:ascii="宋体" w:hAnsi="宋体" w:cs="宋体" w:eastAsiaTheme="minorEastAsia"/>
          <w:sz w:val="24"/>
        </w:rPr>
      </w:pPr>
      <w:r>
        <w:rPr>
          <w:rFonts w:hint="eastAsia" w:ascii="宋体" w:hAnsi="宋体"/>
          <w:b/>
          <w:bCs/>
        </w:rPr>
        <w:t xml:space="preserve">3、最高限价： 2370万元/三年（790万元/年，其中：环卫作业650万元/年、绿化养护140万元/年）</w:t>
      </w:r>
      <w:r/>
    </w:p>
    <w:p>
      <w:pPr>
        <w:ind w:firstLine="420"/>
        <w:jc w:val="left"/>
        <w:spacing w:line="420" w:lineRule="exact"/>
        <w:widowControl/>
        <w:rPr>
          <w:rFonts w:hint="eastAsia" w:ascii="宋体" w:hAnsi="宋体" w:eastAsiaTheme="minorEastAsia"/>
        </w:rPr>
      </w:pPr>
      <w:r>
        <w:rPr>
          <w:rFonts w:hint="eastAsia" w:ascii="宋体" w:hAnsi="宋体"/>
        </w:rPr>
        <w:t xml:space="preserve">4、合同履行期限：三年，合同一年一签。一年服务结束后经采购人考核合格后方可续签下一年度合同。</w:t>
      </w:r>
      <w:r/>
    </w:p>
    <w:p>
      <w:pPr>
        <w:ind w:firstLine="420"/>
        <w:jc w:val="left"/>
        <w:spacing w:line="420" w:lineRule="exact"/>
        <w:widowControl/>
        <w:rPr>
          <w:rFonts w:hint="eastAsia" w:ascii="宋体" w:hAnsi="宋体" w:eastAsiaTheme="minorEastAsia"/>
        </w:rPr>
      </w:pPr>
      <w:r>
        <w:rPr>
          <w:rFonts w:hint="eastAsia" w:ascii="宋体" w:hAnsi="宋体"/>
        </w:rPr>
        <w:t xml:space="preserve">5、项目概况：道路人工清扫保洁约1591000万平方米、绿化养护奔牛镇镇区管护项目总面积约562596平方米，涉及奔牛公园、运河公共绿地、运河文化带等17条管护片区，铁路及国省道管护总面积约546694平方米，涉及城际铁路南北两侧绿地，G312国道S239省道奔牛段绿地管护；公共厕所22座、压缩站1座。</w:t>
      </w:r>
      <w:r/>
    </w:p>
    <w:p>
      <w:pPr>
        <w:pStyle w:val="1020"/>
        <w:jc w:val="both"/>
        <w:keepLines/>
        <w:keepNext/>
        <w:spacing w:line="240" w:lineRule="auto"/>
        <w:rPr>
          <w:sz w:val="28"/>
          <w:szCs w:val="28"/>
        </w:rPr>
      </w:pPr>
      <w:r>
        <w:rPr>
          <w:rFonts w:hint="eastAsia"/>
          <w:sz w:val="28"/>
          <w:szCs w:val="28"/>
        </w:rPr>
        <w:t xml:space="preserve">二、环卫作业的服务内容</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（一）环卫服务内容主要包括</w:t>
      </w:r>
      <w:r/>
    </w:p>
    <w:p>
      <w:pPr>
        <w:ind w:firstLine="420"/>
        <w:jc w:val="left"/>
        <w:spacing w:line="440" w:lineRule="exact"/>
        <w:widowControl/>
        <w:rPr>
          <w:rFonts w:hint="eastAsia" w:ascii="宋体" w:hAnsi="宋体"/>
        </w:rPr>
      </w:pPr>
      <w:r>
        <w:rPr>
          <w:rFonts w:hint="eastAsia" w:ascii="宋体" w:hAnsi="宋体"/>
        </w:rPr>
        <w:t xml:space="preserve">1、道路快、慢车道和人行道进行清扫、清洗、保洁；</w:t>
      </w:r>
      <w:r/>
    </w:p>
    <w:p>
      <w:pPr>
        <w:ind w:firstLine="420"/>
        <w:jc w:val="left"/>
        <w:spacing w:line="440" w:lineRule="exact"/>
        <w:widowControl/>
        <w:rPr>
          <w:rFonts w:hint="eastAsia" w:ascii="宋体" w:hAnsi="宋体"/>
        </w:rPr>
      </w:pPr>
      <w:r>
        <w:rPr>
          <w:rFonts w:hint="eastAsia" w:ascii="宋体" w:hAnsi="宋体"/>
        </w:rPr>
        <w:t xml:space="preserve">2、对依附于道路的绿化带进行保洁（包括但不限于绿化带内垃圾的清理）；</w:t>
      </w:r>
      <w:r/>
    </w:p>
    <w:p>
      <w:pPr>
        <w:ind w:firstLine="420"/>
        <w:jc w:val="left"/>
        <w:spacing w:line="440" w:lineRule="exact"/>
        <w:widowControl/>
        <w:rPr>
          <w:rFonts w:hint="eastAsia" w:ascii="宋体" w:hAnsi="宋体"/>
        </w:rPr>
      </w:pPr>
      <w:r>
        <w:rPr>
          <w:rFonts w:hint="eastAsia" w:ascii="宋体" w:hAnsi="宋体"/>
        </w:rPr>
        <w:t xml:space="preserve">3、对委托范围内的道路按标准进行日常机械化洒水、冲洗、清洗等作业；</w:t>
      </w:r>
      <w:r/>
    </w:p>
    <w:p>
      <w:pPr>
        <w:ind w:firstLine="420"/>
        <w:jc w:val="left"/>
        <w:spacing w:line="440" w:lineRule="exact"/>
        <w:widowControl/>
        <w:rPr>
          <w:rFonts w:hint="eastAsia" w:ascii="宋体" w:hAnsi="宋体"/>
        </w:rPr>
      </w:pPr>
      <w:r>
        <w:rPr>
          <w:rFonts w:hint="eastAsia" w:ascii="宋体" w:hAnsi="宋体"/>
        </w:rPr>
        <w:t xml:space="preserve">4、镇区、道路两侧垃圾箱(房)、果壳箱、转运箱和无主生活垃圾的及时清理及五兴苑小区的生活垃圾清运；</w:t>
      </w:r>
      <w:r/>
    </w:p>
    <w:p>
      <w:pPr>
        <w:ind w:firstLine="420"/>
        <w:jc w:val="left"/>
        <w:spacing w:line="440" w:lineRule="exact"/>
        <w:widowControl/>
        <w:rPr>
          <w:rFonts w:hint="eastAsia" w:ascii="宋体" w:hAnsi="宋体"/>
        </w:rPr>
      </w:pPr>
      <w:r>
        <w:rPr>
          <w:rFonts w:hint="eastAsia" w:ascii="宋体" w:hAnsi="宋体"/>
        </w:rPr>
        <w:t xml:space="preserve">5、全镇区范围内垃圾箱(房)、果壳箱、转运箱、公厕、中转站、压缩站等管理运营设备设施保养、维修正常损耗更换；</w:t>
      </w:r>
      <w:r/>
    </w:p>
    <w:p>
      <w:pPr>
        <w:ind w:firstLine="420"/>
        <w:jc w:val="left"/>
        <w:spacing w:line="440" w:lineRule="exact"/>
        <w:widowControl/>
        <w:rPr>
          <w:rFonts w:hint="eastAsia" w:ascii="宋体" w:hAnsi="宋体"/>
        </w:rPr>
      </w:pPr>
      <w:r>
        <w:rPr>
          <w:rFonts w:hint="eastAsia" w:ascii="宋体" w:hAnsi="宋体"/>
        </w:rPr>
        <w:t xml:space="preserve">6、奔牛镇镇区公厕化粪池清理服务；</w:t>
      </w:r>
      <w:r/>
    </w:p>
    <w:p>
      <w:pPr>
        <w:ind w:firstLine="420"/>
        <w:jc w:val="left"/>
        <w:spacing w:line="440" w:lineRule="exact"/>
        <w:widowControl/>
        <w:rPr>
          <w:rFonts w:hint="eastAsia" w:ascii="宋体" w:hAnsi="宋体"/>
        </w:rPr>
      </w:pPr>
      <w:r>
        <w:rPr>
          <w:rFonts w:hint="eastAsia" w:ascii="宋体" w:hAnsi="宋体"/>
        </w:rPr>
        <w:t xml:space="preserve">7、奔牛人民医院生活垃圾清运服务；</w:t>
      </w:r>
      <w:r/>
    </w:p>
    <w:p>
      <w:pPr>
        <w:ind w:firstLine="420"/>
        <w:jc w:val="left"/>
        <w:spacing w:line="440" w:lineRule="exact"/>
        <w:widowControl/>
        <w:rPr>
          <w:rFonts w:hint="eastAsia" w:ascii="宋体" w:hAnsi="宋体"/>
        </w:rPr>
      </w:pPr>
      <w:r>
        <w:rPr>
          <w:rFonts w:hint="eastAsia" w:ascii="宋体" w:hAnsi="宋体"/>
        </w:rPr>
        <w:t xml:space="preserve">8、运河岸坡长效管理服务项目，服务内容包括日常保洁及绿化管养等；</w:t>
      </w:r>
      <w:r/>
    </w:p>
    <w:p>
      <w:pPr>
        <w:ind w:firstLine="420"/>
        <w:jc w:val="left"/>
        <w:spacing w:line="440" w:lineRule="exact"/>
        <w:rPr>
          <w:rFonts w:hint="eastAsia" w:ascii="宋体" w:hAnsi="宋体"/>
        </w:rPr>
      </w:pPr>
      <w:r>
        <w:rPr>
          <w:rFonts w:hint="eastAsia" w:ascii="宋体" w:hAnsi="宋体"/>
        </w:rPr>
        <w:t xml:space="preserve">9、遇有重大活动、灾害性雨雪天气等特殊情况，组织员工按照应急预案和上级部门要求，做好保障工作；</w:t>
      </w:r>
      <w:r/>
    </w:p>
    <w:p>
      <w:pPr>
        <w:ind w:firstLine="420"/>
        <w:jc w:val="left"/>
        <w:spacing w:line="440" w:lineRule="exact"/>
        <w:rPr>
          <w:rFonts w:hint="eastAsia" w:ascii="宋体" w:hAnsi="宋体"/>
        </w:rPr>
        <w:sectPr>
          <w:footerReference w:type="default" r:id="rId13"/>
          <w:footnotePr/>
          <w:endnotePr/>
          <w:type w:val="nextPage"/>
          <w:pgSz w:w="11906" w:h="16838" w:orient="portrait"/>
          <w:pgMar w:top="1440" w:right="1803" w:bottom="1440" w:left="1803" w:header="851" w:footer="992" w:gutter="0"/>
          <w:cols w:num="1" w:sep="0" w:space="0" w:equalWidth="1"/>
          <w:docGrid w:linePitch="360"/>
        </w:sectPr>
      </w:pPr>
      <w:r>
        <w:rPr>
          <w:rFonts w:hint="eastAsia" w:ascii="宋体" w:hAnsi="宋体"/>
        </w:rPr>
        <w:t xml:space="preserve">10、作业清单如下表：</w:t>
      </w:r>
      <w:r/>
    </w:p>
    <w:tbl>
      <w:tblPr>
        <w:tblW w:w="5000" w:type="pct"/>
        <w:tblLook w:val="04A0" w:firstRow="1" w:lastRow="0" w:firstColumn="1" w:lastColumn="0" w:noHBand="0" w:noVBand="1"/>
      </w:tblPr>
      <w:tblGrid>
        <w:gridCol w:w="542"/>
        <w:gridCol w:w="363"/>
        <w:gridCol w:w="1421"/>
        <w:gridCol w:w="1268"/>
        <w:gridCol w:w="658"/>
        <w:gridCol w:w="749"/>
        <w:gridCol w:w="713"/>
        <w:gridCol w:w="713"/>
        <w:gridCol w:w="10"/>
        <w:gridCol w:w="699"/>
        <w:gridCol w:w="211"/>
        <w:gridCol w:w="490"/>
        <w:gridCol w:w="420"/>
        <w:gridCol w:w="292"/>
        <w:gridCol w:w="928"/>
        <w:gridCol w:w="155"/>
        <w:gridCol w:w="755"/>
        <w:gridCol w:w="189"/>
        <w:gridCol w:w="953"/>
        <w:gridCol w:w="74"/>
        <w:gridCol w:w="641"/>
        <w:gridCol w:w="509"/>
        <w:gridCol w:w="200"/>
        <w:gridCol w:w="995"/>
      </w:tblGrid>
      <w:tr>
        <w:trPr>
          <w:trHeight w:val="700"/>
        </w:trPr>
        <w:tc>
          <w:tcPr>
            <w:gridSpan w:val="24"/>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widowControl/>
              <w:rPr>
                <w:rFonts w:hint="eastAsia" w:ascii="宋体" w:hAnsi="宋体" w:cs="宋体"/>
                <w:b/>
                <w:bCs/>
                <w:sz w:val="18"/>
                <w:szCs w:val="18"/>
              </w:rPr>
            </w:pPr>
            <w:r>
              <w:rPr>
                <w:rFonts w:hint="eastAsia" w:ascii="宋体" w:hAnsi="宋体" w:cs="宋体"/>
                <w:b/>
                <w:bCs/>
                <w:sz w:val="28"/>
                <w:szCs w:val="28"/>
                <w:lang w:bidi="ar"/>
              </w:rPr>
              <w:t xml:space="preserve">奔 牛 道 路 清 单</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vMerge w:val="restart"/>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641" w:type="pct"/>
            <w:vAlign w:val="center"/>
            <w:vMerge w:val="restart"/>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路名</w:t>
            </w:r>
            <w:r/>
          </w:p>
        </w:tc>
        <w:tc>
          <w:tcPr>
            <w:gridSpan w:val="2"/>
            <w:tcBorders>
              <w:top w:val="single" w:color="000000" w:sz="4" w:space="0"/>
              <w:left w:val="single" w:color="000000" w:sz="4" w:space="0"/>
              <w:bottom w:val="single" w:color="000000" w:sz="4" w:space="0"/>
              <w:right w:val="single" w:color="000000" w:sz="4" w:space="0"/>
            </w:tcBorders>
            <w:tcW w:w="680" w:type="pct"/>
            <w:vAlign w:val="center"/>
            <w:vMerge w:val="restart"/>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起止点</w:t>
            </w:r>
            <w:r/>
          </w:p>
        </w:tc>
        <w:tc>
          <w:tcPr>
            <w:gridSpan w:val="2"/>
            <w:tcBorders>
              <w:top w:val="single" w:color="000000" w:sz="4" w:space="0"/>
              <w:left w:val="single" w:color="000000" w:sz="4" w:space="0"/>
              <w:bottom w:val="single" w:color="000000" w:sz="4" w:space="0"/>
              <w:right w:val="single" w:color="000000" w:sz="4" w:space="0"/>
            </w:tcBorders>
            <w:tcW w:w="525" w:type="pct"/>
            <w:vAlign w:val="center"/>
            <w:vMerge w:val="restart"/>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机动车道</w:t>
            </w:r>
            <w:r/>
          </w:p>
        </w:tc>
        <w:tc>
          <w:tcPr>
            <w:gridSpan w:val="3"/>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非机动车道</w:t>
            </w:r>
            <w:r/>
          </w:p>
        </w:tc>
        <w:tc>
          <w:tcPr>
            <w:gridSpan w:val="4"/>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人行道</w:t>
            </w:r>
            <w:r/>
          </w:p>
        </w:tc>
        <w:tc>
          <w:tcPr>
            <w:gridSpan w:val="5"/>
            <w:tcBorders>
              <w:top w:val="single" w:color="000000" w:sz="4" w:space="0"/>
              <w:left w:val="single" w:color="000000" w:sz="4" w:space="0"/>
              <w:bottom w:val="single" w:color="000000" w:sz="4" w:space="0"/>
              <w:right w:val="single" w:color="000000" w:sz="4" w:space="0"/>
            </w:tcBorders>
            <w:tcW w:w="1070"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道路面积</w:t>
            </w:r>
            <w:r/>
          </w:p>
        </w:tc>
        <w:tc>
          <w:tcPr>
            <w:gridSpan w:val="5"/>
            <w:tcBorders>
              <w:top w:val="single" w:color="000000" w:sz="4" w:space="0"/>
              <w:left w:val="single" w:color="000000" w:sz="4" w:space="0"/>
              <w:bottom w:val="single" w:color="000000" w:sz="4" w:space="0"/>
              <w:right w:val="single" w:color="000000" w:sz="4" w:space="0"/>
            </w:tcBorders>
            <w:tcW w:w="867"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绿化带</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长度</w:t>
            </w:r>
            <w:r/>
          </w:p>
        </w:tc>
        <w:tc>
          <w:tcPr>
            <w:tcBorders>
              <w:top w:val="single" w:color="000000" w:sz="4" w:space="0"/>
              <w:left w:val="single" w:color="000000" w:sz="4" w:space="0"/>
              <w:bottom w:val="single" w:color="000000" w:sz="4" w:space="0"/>
              <w:right w:val="single" w:color="000000" w:sz="4" w:space="0"/>
            </w:tcBorders>
            <w:tcW w:w="256"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宽度</w:t>
            </w:r>
            <w:r/>
          </w:p>
        </w:tc>
        <w:tc>
          <w:tcPr>
            <w:tcBorders>
              <w:top w:val="single" w:color="000000" w:sz="4" w:space="0"/>
              <w:left w:val="single" w:color="000000" w:sz="4" w:space="0"/>
              <w:bottom w:val="single" w:color="000000" w:sz="4" w:space="0"/>
              <w:right w:val="single" w:color="000000" w:sz="4" w:space="0"/>
            </w:tcBorders>
            <w:tcW w:w="256"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长度</w:t>
            </w:r>
            <w:r/>
          </w:p>
        </w:tc>
        <w:tc>
          <w:tcPr>
            <w:gridSpan w:val="2"/>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宽度</w:t>
            </w:r>
            <w:r/>
          </w:p>
        </w:tc>
        <w:tc>
          <w:tcPr>
            <w:gridSpan w:val="2"/>
            <w:tcBorders>
              <w:top w:val="single" w:color="000000" w:sz="4" w:space="0"/>
              <w:left w:val="single" w:color="000000" w:sz="4" w:space="0"/>
              <w:bottom w:val="single" w:color="000000" w:sz="4" w:space="0"/>
              <w:right w:val="single" w:color="000000" w:sz="4" w:space="0"/>
            </w:tcBorders>
            <w:tcW w:w="252"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长度</w:t>
            </w:r>
            <w:r/>
          </w:p>
        </w:tc>
        <w:tc>
          <w:tcPr>
            <w:gridSpan w:val="2"/>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宽度</w:t>
            </w:r>
            <w:r/>
          </w:p>
        </w:tc>
        <w:tc>
          <w:tcPr>
            <w:gridSpan w:val="2"/>
            <w:tcBorders>
              <w:top w:val="single" w:color="000000" w:sz="4" w:space="0"/>
              <w:left w:val="single" w:color="000000" w:sz="4" w:space="0"/>
              <w:bottom w:val="single" w:color="000000" w:sz="4" w:space="0"/>
              <w:right w:val="single" w:color="000000" w:sz="4" w:space="0"/>
            </w:tcBorders>
            <w:tcW w:w="389" w:type="pct"/>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机动车道</w:t>
            </w:r>
            <w:r/>
          </w:p>
        </w:tc>
        <w:tc>
          <w:tcPr>
            <w:gridSpan w:val="2"/>
            <w:tcBorders>
              <w:top w:val="single" w:color="000000" w:sz="4" w:space="0"/>
              <w:left w:val="single" w:color="000000" w:sz="4" w:space="0"/>
              <w:bottom w:val="single" w:color="000000" w:sz="4" w:space="0"/>
              <w:right w:val="single" w:color="000000" w:sz="4" w:space="0"/>
            </w:tcBorders>
            <w:tcW w:w="339" w:type="pct"/>
            <w:vAlign w:val="center"/>
            <w:vMerge w:val="restart"/>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非机动车道</w:t>
            </w:r>
            <w:r/>
          </w:p>
        </w:tc>
        <w:tc>
          <w:tcPr>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人行道</w:t>
            </w:r>
            <w:r/>
          </w:p>
        </w:tc>
        <w:tc>
          <w:tcPr>
            <w:gridSpan w:val="2"/>
            <w:tcBorders>
              <w:top w:val="single" w:color="000000" w:sz="4" w:space="0"/>
              <w:left w:val="single" w:color="000000" w:sz="4" w:space="0"/>
              <w:bottom w:val="single" w:color="000000" w:sz="4" w:space="0"/>
              <w:right w:val="single" w:color="000000" w:sz="4" w:space="0"/>
            </w:tcBorders>
            <w:tcW w:w="257"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长度</w:t>
            </w:r>
            <w:r/>
          </w:p>
        </w:tc>
        <w:tc>
          <w:tcPr>
            <w:gridSpan w:val="2"/>
            <w:tcBorders>
              <w:top w:val="single" w:color="000000" w:sz="4" w:space="0"/>
              <w:left w:val="single" w:color="000000" w:sz="4" w:space="0"/>
              <w:bottom w:val="single" w:color="000000" w:sz="4" w:space="0"/>
              <w:right w:val="single" w:color="000000" w:sz="4" w:space="0"/>
            </w:tcBorders>
            <w:tcW w:w="255" w:type="pct"/>
            <w:vAlign w:val="center"/>
            <w:vMerge w:val="restart"/>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宽度</w:t>
            </w:r>
            <w:r/>
          </w:p>
        </w:tc>
        <w:tc>
          <w:tcPr>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面积</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641" w:type="pct"/>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680" w:type="pct"/>
            <w:vAlign w:val="center"/>
            <w:vMerge w:val="continue"/>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m</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widowControl/>
              <w:rPr>
                <w:rFonts w:hint="eastAsia" w:ascii="宋体" w:hAnsi="宋体" w:cs="宋体"/>
                <w:sz w:val="18"/>
                <w:szCs w:val="18"/>
              </w:rPr>
            </w:pPr>
            <w:r>
              <w:rPr>
                <w:rStyle w:val="1097"/>
                <w:rFonts w:hint="default" w:ascii="宋体" w:eastAsia="宋体" w:cs="宋体"/>
                <w:color w:val="auto"/>
                <w:sz w:val="18"/>
                <w:szCs w:val="18"/>
                <w:lang w:bidi="ar"/>
              </w:rPr>
              <w:t xml:space="preserve">㎡</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老街</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步行桥-煤干校</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10800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西横街</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孟河桥-步行桥</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老市场路(奔牛路)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市场门口东半边</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6000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镇中镇</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姚家弄-中天北路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370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2590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中天北路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天禧桥-三八林道口</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3840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2880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育才巷</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金牛路-工农新村</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290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2900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东元巷</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金牛路-老街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950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米厂弄</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金牛路-老街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工农新村路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金牛路-工农新村</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2480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俱乐部弄</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金牛路-沪宁铁路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西元巷</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金牛路-老街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煤干校弄</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金牛路-大运河边</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姚家弄</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金牛路-老街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运河廊道（南-1）</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西河-扁担河</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9900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49500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工商路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金牛路-老街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老孟河桥-万家富立交</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27600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27600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27600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4600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火车站路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金牛路-火车站</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5120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2560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中天南路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239线-天禧桥</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18200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5200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23400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朝阳路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中天南路-赵家村</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6380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1160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迎宾路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兴奔路-中天南路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13500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5400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9000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10800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星月路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心池路-运南东路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12300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9840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3280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南观路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S239-腾龙路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2370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2370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2370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37920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18960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18960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2370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28440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运南东路-1</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兴奔路-239线</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19800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7920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人民路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大运河-戴严家庄</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8000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新街路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大运河-九奔路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4600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兴奔路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龙城大道-星港路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4140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4140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4140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45540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16560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16560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4140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33120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239线</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樊家桥-奔牛港务</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7600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152000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7600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152000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运河路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老孟河桥-东沙河桥</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45000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15000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60000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运南西路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239线-九里村委</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4200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50400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4200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21000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九奔路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万家富-吕城界</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24000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天禧北路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董家塘-龙城大道</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18</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12600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5600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润园路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芮和路-眭家塘</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1630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17930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1630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13040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南新路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南观路-孟渎路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7920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6160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12320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心池路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南新路-星月路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1010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12120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2020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10100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时代路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星港路-运南东路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1460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13140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7300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8760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5840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景园路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南新路-兴奔路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22</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14960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2720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戏院路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金牛路-老街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none" w:color="000000" w:sz="4" w:space="0"/>
              <w:left w:val="none" w:color="000000" w:sz="4" w:space="0"/>
              <w:bottom w:val="none" w:color="000000" w:sz="4" w:space="0"/>
              <w:right w:val="non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2940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奔牛中学南侧道路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时代路-扁担河</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4320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2880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960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奔牛中学东侧道路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南家桥-运东路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360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3240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360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5400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运南东路-2</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扁担河-兴奔路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7380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7380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桥东路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金牛路-老孟河口</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270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1080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幸福路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老孟河口-金牛桥</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1120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九里大桥</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运南西路-九奔路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6560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6560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老大桥北路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九奔路-红楼路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240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3600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45</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红楼路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老大桥北路-新街</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8700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46</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二中南侧道路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时代路-南新路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1980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1320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47</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二中北侧道路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时代路-南新路</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2640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1320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330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1320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金牛东路运河北小公园</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金牛大桥西北侧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914</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6475</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49</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运南东路金牛桥南侧紫竹园</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t xml:space="preserve">金牛大桥西南侧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3487</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5086</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50</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奔牛集贸市场周边区域</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孟河边、东商铺西门面、家佳玛西弄</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9800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2600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万家富周边区域</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3900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26400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南工业园区1路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430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16</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6880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南工业园区2路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430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4300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北工业园区路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340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2380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55</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幼儿园金牛南苑东侧道路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2500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金牛里小区外围步道</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2160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57</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步行桥</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220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1540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58</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兴奔路大桥两侧道路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1180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7080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10730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59</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星光城周边空地</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兴奔路东侧、心池路南侧，嘉宏澎湃围墙西侧</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1400</w:t>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运河廊道-2</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常将营西河桥-奔牛西大桥桥下</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500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1500</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61</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能仁寺西侧道路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能仁寺-239省道</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225</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2025</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62</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能仁寺南侧道路一</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能仁寺南门前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880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63</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能仁寺南侧道路二</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能仁寺南门广场前</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1100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r>
      <w:tr>
        <w:trPr>
          <w:trHeight w:val="460"/>
        </w:trPr>
        <w:tc>
          <w:tcPr>
            <w:tcBorders>
              <w:top w:val="single" w:color="000000" w:sz="4" w:space="0"/>
              <w:left w:val="single" w:color="000000" w:sz="4" w:space="0"/>
              <w:bottom w:val="single" w:color="000000" w:sz="4" w:space="0"/>
              <w:right w:val="single" w:color="000000" w:sz="4" w:space="0"/>
            </w:tcBorders>
            <w:tcW w:w="19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腾龙路</w:t>
            </w:r>
            <w:r/>
          </w:p>
        </w:tc>
        <w:tc>
          <w:tcPr>
            <w:gridSpan w:val="2"/>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跨京沪铁路北-邹区界</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3500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3500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70000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14000</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3500</w:t>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14000</w:t>
            </w:r>
            <w:r/>
          </w:p>
        </w:tc>
      </w:tr>
      <w:tr>
        <w:trPr>
          <w:trHeight w:val="460"/>
        </w:trPr>
        <w:tc>
          <w:tcPr>
            <w:gridSpan w:val="5"/>
            <w:tcBorders>
              <w:top w:val="single" w:color="000000" w:sz="4" w:space="0"/>
              <w:left w:val="single" w:color="000000" w:sz="4" w:space="0"/>
              <w:bottom w:val="single" w:color="000000" w:sz="4" w:space="0"/>
              <w:right w:val="single" w:color="000000" w:sz="4" w:space="0"/>
            </w:tcBorders>
            <w:tcW w:w="1517" w:type="pct"/>
            <w:vAlign w:val="center"/>
            <w:textDirection w:val="lrTb"/>
            <w:noWrap w:val="false"/>
          </w:tcPr>
          <w:p>
            <w:pPr>
              <w:jc w:val="center"/>
              <w:widowControl/>
              <w:rPr>
                <w:rFonts w:hint="eastAsia" w:ascii="宋体" w:hAnsi="宋体" w:cs="宋体"/>
                <w:sz w:val="18"/>
                <w:szCs w:val="18"/>
              </w:rPr>
            </w:pPr>
            <w:r>
              <w:rPr>
                <w:rStyle w:val="1094"/>
                <w:rFonts w:hint="default"/>
                <w:color w:val="auto"/>
                <w:lang w:bidi="ar"/>
              </w:rPr>
              <w:t xml:space="preserve">合计</w:t>
            </w:r>
            <w:r/>
          </w:p>
        </w:tc>
        <w:tc>
          <w:tcPr>
            <w:tcBorders>
              <w:top w:val="single" w:color="000000" w:sz="4" w:space="0"/>
              <w:left w:val="single" w:color="000000" w:sz="4" w:space="0"/>
              <w:bottom w:val="single" w:color="000000" w:sz="4" w:space="0"/>
              <w:right w:val="single" w:color="000000" w:sz="4" w:space="0"/>
            </w:tcBorders>
            <w:tcW w:w="269"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256"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2"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8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709170</w:t>
            </w:r>
            <w:r/>
          </w:p>
        </w:tc>
        <w:tc>
          <w:tcPr>
            <w:gridSpan w:val="2"/>
            <w:tcBorders>
              <w:top w:val="single" w:color="000000" w:sz="4" w:space="0"/>
              <w:left w:val="single" w:color="000000" w:sz="4" w:space="0"/>
              <w:bottom w:val="single" w:color="000000" w:sz="4" w:space="0"/>
              <w:right w:val="single" w:color="000000" w:sz="4" w:space="0"/>
            </w:tcBorders>
            <w:tcW w:w="339"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172665</w:t>
            </w:r>
            <w:r/>
          </w:p>
        </w:tc>
        <w:tc>
          <w:tcPr>
            <w:tcBorders>
              <w:top w:val="single" w:color="000000" w:sz="4" w:space="0"/>
              <w:left w:val="single" w:color="000000" w:sz="4" w:space="0"/>
              <w:bottom w:val="single" w:color="000000" w:sz="4" w:space="0"/>
              <w:right w:val="single" w:color="000000" w:sz="4" w:space="0"/>
            </w:tcBorders>
            <w:tcW w:w="342"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217321</w:t>
            </w:r>
            <w:r/>
          </w:p>
        </w:tc>
        <w:tc>
          <w:tcPr>
            <w:gridSpan w:val="2"/>
            <w:tcBorders>
              <w:top w:val="single" w:color="000000" w:sz="4" w:space="0"/>
              <w:left w:val="single" w:color="000000" w:sz="4" w:space="0"/>
              <w:bottom w:val="single" w:color="000000" w:sz="4" w:space="0"/>
              <w:right w:val="single" w:color="000000" w:sz="4" w:space="0"/>
            </w:tcBorders>
            <w:tcW w:w="257"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5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486751</w:t>
            </w:r>
            <w:r/>
          </w:p>
        </w:tc>
      </w:tr>
      <w:tr>
        <w:trPr>
          <w:jc w:val="center"/>
          <w:trHeight w:val="688"/>
          <w:tblHeader/>
        </w:trPr>
        <w:tc>
          <w:tcPr>
            <w:gridSpan w:val="24"/>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28"/>
                <w:szCs w:val="28"/>
                <w:lang w:bidi="ar"/>
              </w:rPr>
              <w:t xml:space="preserve">奔牛项目设施清单（公厕）</w:t>
            </w:r>
            <w:r/>
          </w:p>
        </w:tc>
      </w:tr>
      <w:tr>
        <w:trPr>
          <w:jc w:val="center"/>
          <w:tblHeader/>
        </w:trPr>
        <w:tc>
          <w:tcPr>
            <w:gridSpan w:val="2"/>
            <w:tcBorders>
              <w:top w:val="single" w:color="000000" w:sz="4" w:space="0"/>
              <w:left w:val="single" w:color="000000" w:sz="4" w:space="0"/>
              <w:bottom w:val="single" w:color="000000" w:sz="4" w:space="0"/>
              <w:right w:val="single" w:color="000000" w:sz="4" w:space="0"/>
            </w:tcBorders>
            <w:tcW w:w="326"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958"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公厕名称</w:t>
            </w:r>
            <w:r/>
          </w:p>
        </w:tc>
        <w:tc>
          <w:tcPr>
            <w:gridSpan w:val="5"/>
            <w:tcBorders>
              <w:top w:val="single" w:color="000000" w:sz="4" w:space="0"/>
              <w:left w:val="single" w:color="000000" w:sz="4" w:space="0"/>
              <w:bottom w:val="single" w:color="000000" w:sz="4" w:space="0"/>
              <w:right w:val="single" w:color="000000" w:sz="4" w:space="0"/>
            </w:tcBorders>
            <w:tcW w:w="1018"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地址</w:t>
            </w:r>
            <w:r/>
          </w:p>
        </w:tc>
        <w:tc>
          <w:tcPr>
            <w:gridSpan w:val="11"/>
            <w:tcBorders>
              <w:top w:val="single" w:color="000000" w:sz="4" w:space="0"/>
              <w:left w:val="single" w:color="000000" w:sz="4" w:space="0"/>
              <w:bottom w:val="single" w:color="000000" w:sz="4" w:space="0"/>
              <w:right w:val="single" w:color="000000" w:sz="4" w:space="0"/>
            </w:tcBorders>
            <w:tcW w:w="185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厕位数</w:t>
            </w:r>
            <w:r/>
          </w:p>
        </w:tc>
        <w:tc>
          <w:tcPr>
            <w:gridSpan w:val="2"/>
            <w:tcBorders>
              <w:top w:val="single" w:color="000000" w:sz="4" w:space="0"/>
              <w:left w:val="single" w:color="000000" w:sz="4" w:space="0"/>
              <w:bottom w:val="single" w:color="000000" w:sz="4" w:space="0"/>
              <w:right w:val="single" w:color="000000" w:sz="4" w:space="0"/>
            </w:tcBorders>
            <w:tcW w:w="413"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管理间</w:t>
            </w:r>
            <w:r/>
          </w:p>
        </w:tc>
        <w:tc>
          <w:tcPr>
            <w:gridSpan w:val="2"/>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工具间</w:t>
            </w:r>
            <w:r/>
          </w:p>
        </w:tc>
      </w:tr>
      <w:tr>
        <w:trPr>
          <w:jc w:val="center"/>
          <w:tblHeader/>
        </w:trPr>
        <w:tc>
          <w:tcPr>
            <w:gridSpan w:val="2"/>
            <w:tcBorders>
              <w:top w:val="single" w:color="000000" w:sz="4" w:space="0"/>
              <w:left w:val="single" w:color="000000" w:sz="4" w:space="0"/>
              <w:bottom w:val="single" w:color="000000" w:sz="4" w:space="0"/>
              <w:right w:val="single" w:color="000000" w:sz="4" w:space="0"/>
            </w:tcBorders>
            <w:tcW w:w="326"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2"/>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1018"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1092"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男</w:t>
            </w:r>
            <w:r/>
          </w:p>
        </w:tc>
        <w:tc>
          <w:tcPr>
            <w:gridSpan w:val="5"/>
            <w:tcBorders>
              <w:top w:val="single" w:color="000000" w:sz="4" w:space="0"/>
              <w:left w:val="single" w:color="000000" w:sz="4" w:space="0"/>
              <w:bottom w:val="single" w:color="000000" w:sz="4" w:space="0"/>
              <w:right w:val="single" w:color="000000" w:sz="4" w:space="0"/>
            </w:tcBorders>
            <w:tcW w:w="763" w:type="pct"/>
            <w:vAlign w:val="center"/>
            <w:vMerge w:val="restart"/>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女</w:t>
            </w:r>
            <w:r/>
          </w:p>
        </w:tc>
        <w:tc>
          <w:tcPr>
            <w:gridSpan w:val="2"/>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2"/>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blHeader/>
        </w:trPr>
        <w:tc>
          <w:tcPr>
            <w:gridSpan w:val="2"/>
            <w:tcBorders>
              <w:top w:val="single" w:color="000000" w:sz="4" w:space="0"/>
              <w:left w:val="single" w:color="000000" w:sz="4" w:space="0"/>
              <w:bottom w:val="single" w:color="000000" w:sz="4" w:space="0"/>
              <w:right w:val="single" w:color="000000" w:sz="4" w:space="0"/>
            </w:tcBorders>
            <w:tcW w:w="326"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2"/>
            <w:tcBorders>
              <w:top w:val="single" w:color="000000" w:sz="4" w:space="0"/>
              <w:left w:val="single" w:color="000000" w:sz="4" w:space="0"/>
              <w:bottom w:val="single" w:color="000000" w:sz="4" w:space="0"/>
              <w:right w:val="single" w:color="000000" w:sz="4" w:space="0"/>
            </w:tcBorders>
            <w:tcW w:w="958"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1018"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站位</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蹲位</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残疾坐位</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蹲位</w:t>
            </w:r>
            <w:r/>
          </w:p>
        </w:tc>
        <w:tc>
          <w:tcPr>
            <w:gridSpan w:val="3"/>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widowControl/>
              <w:rPr>
                <w:rFonts w:hint="eastAsia" w:ascii="宋体" w:hAnsi="宋体" w:cs="宋体"/>
                <w:b/>
                <w:bCs/>
                <w:sz w:val="18"/>
                <w:szCs w:val="18"/>
              </w:rPr>
            </w:pPr>
            <w:r>
              <w:rPr>
                <w:rFonts w:hint="eastAsia" w:ascii="宋体" w:hAnsi="宋体" w:cs="宋体"/>
                <w:b/>
                <w:bCs/>
                <w:sz w:val="18"/>
                <w:szCs w:val="18"/>
                <w:lang w:bidi="ar"/>
              </w:rPr>
              <w:t xml:space="preserve">残疾坐位</w:t>
            </w:r>
            <w:r/>
          </w:p>
        </w:tc>
        <w:tc>
          <w:tcPr>
            <w:gridSpan w:val="2"/>
            <w:tcBorders>
              <w:top w:val="single" w:color="000000" w:sz="4" w:space="0"/>
              <w:left w:val="single" w:color="000000" w:sz="4" w:space="0"/>
              <w:bottom w:val="single" w:color="000000" w:sz="4" w:space="0"/>
              <w:right w:val="single" w:color="000000" w:sz="4" w:space="0"/>
            </w:tcBorders>
            <w:tcW w:w="413"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c>
          <w:tcPr>
            <w:gridSpan w:val="2"/>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val="false"/>
          </w:tcPr>
          <w:p>
            <w:pPr>
              <w:jc w:val="center"/>
              <w:rPr>
                <w:rFonts w:hint="eastAsia" w:ascii="宋体" w:hAnsi="宋体" w:cs="宋体"/>
                <w:b/>
                <w:bCs/>
                <w:sz w:val="18"/>
                <w:szCs w:val="18"/>
              </w:rPr>
            </w:pPr>
            <w:r>
              <w:rPr>
                <w:rFonts w:hint="eastAsia" w:ascii="宋体" w:hAnsi="宋体" w:cs="宋体"/>
                <w:b/>
                <w:bCs/>
                <w:sz w:val="18"/>
                <w:szCs w:val="18"/>
              </w:rPr>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三八林</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三八林</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育才巷</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育才巷</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0</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金牛西路</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金牛西路</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公园二村</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公园二村</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幸福路</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幸福路</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桥东街</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桥东街</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南塘</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南塘村</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工商路</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工商路</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管理间兼工具间</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工农新村路</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工农新村路</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工农新村内</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工农新村内</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东元巷</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东元巷</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派出所北</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派出所北</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管理间兼工具间</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迎宾花园北</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迎宾花园北</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4"/>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管理间兼工具间</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西横街</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西横街</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5</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鞋城</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鞋城后</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运南新村</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运南新村内</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老乡政府</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老乡政府内</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九里人民路</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九里人民路</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九里大桥北路</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九里大桥北路</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无</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天禧桥洞南</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天禧桥洞南</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rPr>
                <w:rFonts w:hint="eastAsia" w:ascii="宋体" w:hAnsi="宋体" w:cs="宋体"/>
                <w:sz w:val="18"/>
                <w:szCs w:val="18"/>
              </w:rPr>
            </w:pPr>
            <w:r>
              <w:rPr>
                <w:rFonts w:hint="eastAsia" w:ascii="宋体" w:hAnsi="宋体" w:cs="宋体"/>
                <w:sz w:val="18"/>
                <w:szCs w:val="18"/>
              </w:rPr>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紫竹园</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紫竹园</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gridSpan w:val="2"/>
            <w:tcBorders>
              <w:top w:val="single" w:color="000000" w:sz="4" w:space="0"/>
              <w:left w:val="single" w:color="000000" w:sz="4" w:space="0"/>
              <w:bottom w:val="single" w:color="000000" w:sz="4" w:space="0"/>
              <w:right w:val="single" w:color="000000" w:sz="4" w:space="0"/>
            </w:tcBorders>
            <w:tcW w:w="413"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27"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1</w:t>
            </w:r>
            <w:r/>
          </w:p>
        </w:tc>
      </w:tr>
      <w:tr>
        <w:trPr>
          <w:jc w:val="center"/>
          <w:trHeight w:val="408"/>
        </w:trPr>
        <w:tc>
          <w:tcPr>
            <w:gridSpan w:val="2"/>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95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紫缘公厕</w:t>
            </w:r>
            <w:r/>
          </w:p>
        </w:tc>
        <w:tc>
          <w:tcPr>
            <w:gridSpan w:val="5"/>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紫缘大酒店楼下</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438"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327"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3</w:t>
            </w:r>
            <w:r/>
          </w:p>
        </w:tc>
        <w:tc>
          <w:tcPr>
            <w:gridSpan w:val="3"/>
            <w:tcBorders>
              <w:top w:val="single" w:color="000000" w:sz="4" w:space="0"/>
              <w:left w:val="single" w:color="000000" w:sz="4" w:space="0"/>
              <w:bottom w:val="single" w:color="000000" w:sz="4" w:space="0"/>
              <w:right w:val="none" w:color="000000" w:sz="4" w:space="0"/>
            </w:tcBorders>
            <w:tcW w:w="436" w:type="pct"/>
            <w:vAlign w:val="center"/>
            <w:textDirection w:val="lrTb"/>
            <w:noWrap w:val="false"/>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4"/>
            <w:tcBorders>
              <w:top w:val="single" w:color="000000" w:sz="4" w:space="0"/>
              <w:left w:val="single" w:color="000000" w:sz="4" w:space="0"/>
              <w:bottom w:val="single" w:color="000000" w:sz="4" w:space="0"/>
              <w:right w:val="single" w:color="000000" w:sz="4" w:space="0"/>
            </w:tcBorders>
            <w:tcW w:w="840" w:type="pct"/>
            <w:vAlign w:val="center"/>
            <w:textDirection w:val="lrTb"/>
            <w:noWrap w:val="false"/>
          </w:tcPr>
          <w:p>
            <w:pPr>
              <w:jc w:val="left"/>
              <w:widowControl/>
              <w:rPr>
                <w:rFonts w:hint="eastAsia" w:ascii="宋体" w:hAnsi="宋体" w:cs="宋体"/>
                <w:sz w:val="18"/>
                <w:szCs w:val="18"/>
              </w:rPr>
            </w:pPr>
            <w:r>
              <w:rPr>
                <w:rFonts w:hint="eastAsia" w:ascii="宋体" w:hAnsi="宋体" w:cs="宋体"/>
                <w:sz w:val="18"/>
                <w:szCs w:val="18"/>
                <w:lang w:bidi="ar"/>
              </w:rPr>
              <w:t xml:space="preserve">管理间兼工具间</w:t>
            </w:r>
            <w:r/>
          </w:p>
        </w:tc>
      </w:tr>
      <w:tr>
        <w:trPr>
          <w:jc w:val="center"/>
          <w:trHeight w:val="826"/>
        </w:trPr>
        <w:tc>
          <w:tcPr>
            <w:gridSpan w:val="24"/>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hint="eastAsia" w:ascii="宋体" w:hAnsi="宋体" w:cs="宋体"/>
                <w:b/>
                <w:bCs/>
                <w:sz w:val="28"/>
                <w:szCs w:val="28"/>
              </w:rPr>
            </w:pPr>
            <w:r>
              <w:rPr>
                <w:rFonts w:hint="eastAsia" w:ascii="宋体" w:hAnsi="宋体" w:cs="宋体"/>
                <w:b/>
                <w:bCs/>
                <w:sz w:val="28"/>
                <w:szCs w:val="28"/>
                <w:lang w:bidi="ar"/>
              </w:rPr>
              <w:t xml:space="preserve">奔牛项目设施清单（站点）</w:t>
            </w:r>
            <w:r/>
          </w:p>
        </w:tc>
      </w:tr>
      <w:tr>
        <w:trPr>
          <w:jc w:val="center"/>
          <w:trHeight w:val="408"/>
        </w:trPr>
        <w:tc>
          <w:tcPr>
            <w:gridSpan w:val="4"/>
            <w:tcBorders>
              <w:top w:val="single" w:color="000000" w:sz="4" w:space="0"/>
              <w:left w:val="single" w:color="000000" w:sz="4" w:space="0"/>
              <w:bottom w:val="single" w:color="000000" w:sz="4" w:space="0"/>
              <w:right w:val="single" w:color="000000" w:sz="4" w:space="0"/>
            </w:tcBorders>
            <w:tcW w:w="128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序号</w:t>
            </w:r>
            <w:r/>
          </w:p>
        </w:tc>
        <w:tc>
          <w:tcPr>
            <w:gridSpan w:val="20"/>
            <w:tcBorders>
              <w:top w:val="single" w:color="000000" w:sz="4" w:space="0"/>
              <w:left w:val="single" w:color="000000" w:sz="4" w:space="0"/>
              <w:bottom w:val="single" w:color="000000" w:sz="4" w:space="0"/>
              <w:right w:val="single" w:color="000000" w:sz="4" w:space="0"/>
            </w:tcBorders>
            <w:tcW w:w="371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名称</w:t>
            </w:r>
            <w:r/>
          </w:p>
        </w:tc>
      </w:tr>
      <w:tr>
        <w:trPr>
          <w:jc w:val="center"/>
          <w:trHeight w:val="408"/>
        </w:trPr>
        <w:tc>
          <w:tcPr>
            <w:gridSpan w:val="4"/>
            <w:tcBorders>
              <w:top w:val="single" w:color="000000" w:sz="4" w:space="0"/>
              <w:left w:val="single" w:color="000000" w:sz="4" w:space="0"/>
              <w:bottom w:val="single" w:color="000000" w:sz="4" w:space="0"/>
              <w:right w:val="single" w:color="000000" w:sz="4" w:space="0"/>
            </w:tcBorders>
            <w:tcW w:w="1284"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1</w:t>
            </w:r>
            <w:r/>
          </w:p>
        </w:tc>
        <w:tc>
          <w:tcPr>
            <w:gridSpan w:val="20"/>
            <w:tcBorders>
              <w:top w:val="single" w:color="000000" w:sz="4" w:space="0"/>
              <w:left w:val="single" w:color="000000" w:sz="4" w:space="0"/>
              <w:bottom w:val="single" w:color="000000" w:sz="4" w:space="0"/>
              <w:right w:val="single" w:color="000000" w:sz="4" w:space="0"/>
            </w:tcBorders>
            <w:tcW w:w="3715" w:type="pct"/>
            <w:vAlign w:val="center"/>
            <w:textDirection w:val="lrTb"/>
            <w:noWrap/>
          </w:tcPr>
          <w:p>
            <w:pPr>
              <w:jc w:val="center"/>
              <w:widowControl/>
              <w:rPr>
                <w:rFonts w:hint="eastAsia" w:ascii="宋体" w:hAnsi="宋体" w:cs="宋体"/>
                <w:sz w:val="18"/>
                <w:szCs w:val="18"/>
              </w:rPr>
            </w:pPr>
            <w:r>
              <w:rPr>
                <w:rFonts w:hint="eastAsia" w:ascii="宋体" w:hAnsi="宋体" w:cs="宋体"/>
                <w:sz w:val="18"/>
                <w:szCs w:val="18"/>
                <w:lang w:bidi="ar"/>
              </w:rPr>
              <w:t xml:space="preserve">奔牛垃圾压缩站</w:t>
            </w:r>
            <w:r/>
          </w:p>
        </w:tc>
      </w:tr>
    </w:tbl>
    <w:p>
      <w:pPr>
        <w:jc w:val="left"/>
        <w:spacing w:line="440" w:lineRule="exact"/>
        <w:rPr>
          <w:rFonts w:hint="eastAsia" w:ascii="宋体" w:hAnsi="宋体"/>
        </w:rPr>
      </w:pPr>
      <w:r>
        <w:rPr>
          <w:rFonts w:hint="eastAsia" w:ascii="宋体" w:hAnsi="宋体"/>
        </w:rPr>
      </w:r>
      <w:r/>
    </w:p>
    <w:p>
      <w:pPr>
        <w:ind w:firstLine="422"/>
        <w:jc w:val="left"/>
        <w:spacing w:line="460" w:lineRule="exact"/>
        <w:rPr>
          <w:rFonts w:hint="eastAsia" w:ascii="宋体" w:hAnsi="宋体" w:cs="宋体"/>
          <w:sz w:val="24"/>
        </w:rPr>
      </w:pPr>
      <w:r>
        <w:rPr>
          <w:rFonts w:hint="eastAsia" w:ascii="宋体" w:hAnsi="宋体" w:cs="宋体"/>
          <w:b/>
        </w:rPr>
        <w:t xml:space="preserve">注：作业服务量清单中的道路长度、面积仅供参考，最终作业服务范围以现场交接为准。</w:t>
      </w:r>
      <w:r/>
    </w:p>
    <w:p>
      <w:pPr>
        <w:pStyle w:val="1021"/>
        <w:spacing w:before="0" w:after="0" w:line="413" w:lineRule="auto"/>
        <w:rPr>
          <w:rFonts w:hint="eastAsia" w:asciiTheme="minorEastAsia" w:hAnsiTheme="minorEastAsia" w:eastAsiaTheme="minorEastAsia" w:cstheme="minorEastAsia"/>
          <w:sz w:val="24"/>
          <w:szCs w:val="24"/>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Theme="minorEastAsia" w:hAnsiTheme="minorEastAsia" w:eastAsiaTheme="minorEastAsia" w:cstheme="minorEastAsia"/>
          <w:sz w:val="24"/>
          <w:szCs w:val="24"/>
        </w:rPr>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（二）环卫作业时间要求</w:t>
      </w:r>
      <w:r/>
    </w:p>
    <w:p>
      <w:pPr>
        <w:ind w:firstLine="420"/>
        <w:jc w:val="left"/>
        <w:spacing w:line="440" w:lineRule="exact"/>
        <w:widowControl/>
        <w:rPr>
          <w:rFonts w:hint="eastAsia" w:ascii="宋体" w:hAnsi="宋体"/>
        </w:rPr>
      </w:pPr>
      <w:r>
        <w:rPr>
          <w:rFonts w:hint="eastAsia" w:ascii="宋体" w:hAnsi="宋体"/>
        </w:rPr>
        <w:t xml:space="preserve">1、机械化作业时间要求：</w:t>
      </w:r>
      <w:r/>
    </w:p>
    <w:p>
      <w:pPr>
        <w:ind w:firstLine="420"/>
        <w:jc w:val="left"/>
        <w:spacing w:line="440" w:lineRule="exact"/>
        <w:widowControl/>
        <w:rPr>
          <w:rFonts w:hint="eastAsia" w:ascii="宋体" w:hAnsi="宋体"/>
        </w:rPr>
      </w:pPr>
      <w:r>
        <w:rPr>
          <w:rFonts w:hint="eastAsia" w:ascii="宋体" w:hAnsi="宋体"/>
        </w:rPr>
        <w:t xml:space="preserve">市级考评道路按《常州市城市环卫作业服务要求》文件规定执行。 其它区级道路机械化作业时间当日上午11:00前完成。</w:t>
      </w:r>
      <w:r/>
    </w:p>
    <w:p>
      <w:pPr>
        <w:ind w:firstLine="420"/>
        <w:jc w:val="left"/>
        <w:spacing w:line="440" w:lineRule="exact"/>
        <w:widowControl/>
        <w:rPr>
          <w:rFonts w:hint="eastAsia" w:ascii="宋体" w:hAnsi="宋体"/>
        </w:rPr>
      </w:pPr>
      <w:r>
        <w:rPr>
          <w:rFonts w:hint="eastAsia" w:ascii="宋体" w:hAnsi="宋体"/>
        </w:rPr>
        <w:t xml:space="preserve">2、环卫人工保洁作业时间要求：</w:t>
      </w:r>
      <w:r/>
    </w:p>
    <w:tbl>
      <w:tblPr>
        <w:tblStyle w:val="1104"/>
        <w:tblW w:w="8440"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23"/>
        <w:gridCol w:w="2058"/>
        <w:gridCol w:w="2747"/>
        <w:gridCol w:w="2312"/>
      </w:tblGrid>
      <w:tr>
        <w:trPr>
          <w:trHeight w:val="494"/>
        </w:trPr>
        <w:tc>
          <w:tcPr>
            <w:tcW w:w="1323" w:type="dxa"/>
            <w:textDirection w:val="lrTb"/>
            <w:noWrap w:val="false"/>
          </w:tcPr>
          <w:p>
            <w:pPr>
              <w:ind w:firstLine="420"/>
              <w:jc w:val="left"/>
              <w:spacing w:line="440" w:lineRule="exact"/>
              <w:widowControl/>
              <w:rPr>
                <w:rFonts w:hint="eastAsia" w:ascii="宋体" w:hAnsi="宋体"/>
              </w:rPr>
            </w:pPr>
            <w:r>
              <w:rPr>
                <w:rFonts w:hint="eastAsia" w:ascii="宋体" w:hAnsi="宋体"/>
              </w:rPr>
              <w:t xml:space="preserve">道路等级</w:t>
            </w:r>
            <w:r/>
          </w:p>
        </w:tc>
        <w:tc>
          <w:tcPr>
            <w:tcW w:w="2058" w:type="dxa"/>
            <w:textDirection w:val="lrTb"/>
            <w:noWrap w:val="false"/>
          </w:tcPr>
          <w:p>
            <w:pPr>
              <w:ind w:firstLine="420"/>
              <w:jc w:val="left"/>
              <w:spacing w:line="440" w:lineRule="exact"/>
              <w:widowControl/>
              <w:rPr>
                <w:rFonts w:hint="eastAsia" w:ascii="宋体" w:hAnsi="宋体"/>
              </w:rPr>
            </w:pPr>
            <w:r>
              <w:rPr>
                <w:rFonts w:hint="eastAsia" w:ascii="宋体" w:hAnsi="宋体"/>
              </w:rPr>
              <w:t xml:space="preserve">道路分类</w:t>
            </w:r>
            <w:r/>
          </w:p>
        </w:tc>
        <w:tc>
          <w:tcPr>
            <w:tcW w:w="2747" w:type="dxa"/>
            <w:textDirection w:val="lrTb"/>
            <w:noWrap w:val="false"/>
          </w:tcPr>
          <w:p>
            <w:pPr>
              <w:ind w:firstLine="420"/>
              <w:jc w:val="left"/>
              <w:spacing w:line="440" w:lineRule="exact"/>
              <w:widowControl/>
              <w:rPr>
                <w:rFonts w:hint="eastAsia" w:ascii="宋体" w:hAnsi="宋体"/>
              </w:rPr>
            </w:pPr>
            <w:r>
              <w:rPr>
                <w:rFonts w:hint="eastAsia" w:ascii="宋体" w:hAnsi="宋体"/>
              </w:rPr>
              <w:t xml:space="preserve">具体作业时间</w:t>
            </w:r>
            <w:r/>
          </w:p>
        </w:tc>
        <w:tc>
          <w:tcPr>
            <w:tcW w:w="2312" w:type="dxa"/>
            <w:textDirection w:val="lrTb"/>
            <w:noWrap w:val="false"/>
          </w:tcPr>
          <w:p>
            <w:pPr>
              <w:ind w:firstLine="420"/>
              <w:jc w:val="left"/>
              <w:spacing w:line="440" w:lineRule="exact"/>
              <w:widowControl/>
              <w:rPr>
                <w:rFonts w:hint="eastAsia" w:ascii="宋体" w:hAnsi="宋体"/>
              </w:rPr>
            </w:pPr>
            <w:r>
              <w:rPr>
                <w:rFonts w:hint="eastAsia" w:ascii="宋体" w:hAnsi="宋体"/>
              </w:rPr>
              <w:t xml:space="preserve">作业方式</w:t>
            </w:r>
            <w:r/>
          </w:p>
        </w:tc>
      </w:tr>
      <w:tr>
        <w:trPr>
          <w:trHeight w:val="1447"/>
        </w:trPr>
        <w:tc>
          <w:tcPr>
            <w:tcBorders>
              <w:bottom w:val="none" w:color="000000" w:sz="4" w:space="0"/>
            </w:tcBorders>
            <w:tcW w:w="1323" w:type="dxa"/>
            <w:vAlign w:val="center"/>
            <w:vMerge w:val="restart"/>
            <w:textDirection w:val="lrTb"/>
            <w:noWrap w:val="false"/>
          </w:tcPr>
          <w:p>
            <w:r/>
            <w:r/>
          </w:p>
          <w:p>
            <w:r/>
            <w:r/>
          </w:p>
          <w:p>
            <w:pPr>
              <w:jc w:val="center"/>
              <w:spacing w:line="440" w:lineRule="exact"/>
              <w:widowControl/>
              <w:rPr>
                <w:rFonts w:hint="eastAsia" w:ascii="宋体" w:hAnsi="宋体"/>
              </w:rPr>
            </w:pPr>
            <w:r>
              <w:rPr>
                <w:rFonts w:hint="eastAsia" w:ascii="宋体" w:hAnsi="宋体"/>
              </w:rPr>
              <w:t xml:space="preserve">镇级</w:t>
            </w:r>
            <w:r/>
          </w:p>
        </w:tc>
        <w:tc>
          <w:tcPr>
            <w:tcBorders>
              <w:bottom w:val="none" w:color="000000" w:sz="4" w:space="0"/>
            </w:tcBorders>
            <w:tcW w:w="2058" w:type="dxa"/>
            <w:vAlign w:val="center"/>
            <w:vMerge w:val="restart"/>
            <w:textDirection w:val="lrTb"/>
            <w:noWrap w:val="false"/>
          </w:tcPr>
          <w:p>
            <w:pPr>
              <w:ind w:firstLine="420"/>
              <w:jc w:val="center"/>
              <w:spacing w:line="440" w:lineRule="exact"/>
              <w:widowControl/>
              <w:rPr>
                <w:rFonts w:hint="eastAsia" w:ascii="宋体" w:hAnsi="宋体"/>
              </w:rPr>
            </w:pPr>
            <w:r>
              <w:rPr>
                <w:rFonts w:hint="eastAsia" w:ascii="宋体" w:hAnsi="宋体"/>
              </w:rPr>
            </w:r>
            <w:r/>
          </w:p>
          <w:p>
            <w:pPr>
              <w:jc w:val="center"/>
              <w:spacing w:line="440" w:lineRule="exact"/>
              <w:widowControl/>
              <w:rPr>
                <w:rFonts w:hint="eastAsia" w:ascii="宋体" w:hAnsi="宋体"/>
              </w:rPr>
            </w:pPr>
            <w:r>
              <w:rPr>
                <w:rFonts w:hint="eastAsia" w:ascii="宋体" w:hAnsi="宋体"/>
              </w:rPr>
              <w:t xml:space="preserve">八小时保洁的主、 次干道</w:t>
            </w:r>
            <w:r/>
          </w:p>
        </w:tc>
        <w:tc>
          <w:tcPr>
            <w:tcW w:w="2747" w:type="dxa"/>
            <w:vAlign w:val="center"/>
            <w:textDirection w:val="lrTb"/>
            <w:noWrap w:val="false"/>
          </w:tcPr>
          <w:p>
            <w:pPr>
              <w:jc w:val="center"/>
              <w:spacing w:line="440" w:lineRule="exact"/>
              <w:widowControl/>
              <w:rPr>
                <w:rFonts w:hint="eastAsia" w:ascii="宋体" w:hAnsi="宋体"/>
              </w:rPr>
            </w:pPr>
            <w:r>
              <w:rPr>
                <w:rFonts w:hint="eastAsia" w:ascii="宋体" w:hAnsi="宋体"/>
              </w:rPr>
              <w:t xml:space="preserve">早晨7:00- 8:30</w:t>
            </w:r>
            <w:r/>
          </w:p>
        </w:tc>
        <w:tc>
          <w:tcPr>
            <w:tcBorders>
              <w:bottom w:val="none" w:color="000000" w:sz="4" w:space="0"/>
            </w:tcBorders>
            <w:tcW w:w="2312" w:type="dxa"/>
            <w:vAlign w:val="center"/>
            <w:textDirection w:val="lrTb"/>
            <w:noWrap w:val="false"/>
          </w:tcPr>
          <w:p>
            <w:r/>
            <w:r/>
          </w:p>
          <w:p>
            <w:pPr>
              <w:jc w:val="center"/>
              <w:spacing w:line="440" w:lineRule="exact"/>
              <w:widowControl/>
              <w:rPr>
                <w:rFonts w:hint="eastAsia" w:ascii="宋体" w:hAnsi="宋体"/>
              </w:rPr>
            </w:pPr>
            <w:r>
              <w:rPr>
                <w:rFonts w:hint="eastAsia" w:ascii="宋体" w:hAnsi="宋体"/>
              </w:rPr>
              <w:t xml:space="preserve">全面清扫</w:t>
            </w:r>
            <w:r/>
          </w:p>
        </w:tc>
      </w:tr>
      <w:tr>
        <w:trPr>
          <w:trHeight w:val="958"/>
        </w:trPr>
        <w:tc>
          <w:tcPr>
            <w:tcBorders>
              <w:top w:val="none" w:color="000000" w:sz="4" w:space="0"/>
            </w:tcBorders>
            <w:tcW w:w="1323" w:type="dxa"/>
            <w:vAlign w:val="center"/>
            <w:vMerge w:val="continue"/>
            <w:textDirection w:val="lrTb"/>
            <w:noWrap w:val="false"/>
          </w:tcPr>
          <w:p>
            <w:pPr>
              <w:ind w:firstLine="420"/>
              <w:jc w:val="center"/>
              <w:spacing w:line="440" w:lineRule="exact"/>
              <w:widowControl/>
              <w:rPr>
                <w:rFonts w:hint="eastAsia" w:ascii="宋体" w:hAnsi="宋体"/>
              </w:rPr>
            </w:pPr>
            <w:r>
              <w:rPr>
                <w:rFonts w:hint="eastAsia" w:ascii="宋体" w:hAnsi="宋体"/>
              </w:rPr>
            </w:r>
            <w:r/>
          </w:p>
        </w:tc>
        <w:tc>
          <w:tcPr>
            <w:tcBorders>
              <w:top w:val="none" w:color="000000" w:sz="4" w:space="0"/>
            </w:tcBorders>
            <w:tcW w:w="2058" w:type="dxa"/>
            <w:vAlign w:val="center"/>
            <w:vMerge w:val="continue"/>
            <w:textDirection w:val="lrTb"/>
            <w:noWrap w:val="false"/>
          </w:tcPr>
          <w:p>
            <w:pPr>
              <w:ind w:firstLine="420"/>
              <w:jc w:val="center"/>
              <w:spacing w:line="440" w:lineRule="exact"/>
              <w:widowControl/>
              <w:rPr>
                <w:rFonts w:hint="eastAsia" w:ascii="宋体" w:hAnsi="宋体"/>
              </w:rPr>
            </w:pPr>
            <w:r>
              <w:rPr>
                <w:rFonts w:hint="eastAsia" w:ascii="宋体" w:hAnsi="宋体"/>
              </w:rPr>
            </w:r>
            <w:r/>
          </w:p>
        </w:tc>
        <w:tc>
          <w:tcPr>
            <w:tcW w:w="2747" w:type="dxa"/>
            <w:vAlign w:val="center"/>
            <w:textDirection w:val="lrTb"/>
            <w:noWrap w:val="false"/>
          </w:tcPr>
          <w:p>
            <w:pPr>
              <w:jc w:val="center"/>
              <w:spacing w:line="440" w:lineRule="exact"/>
              <w:widowControl/>
              <w:rPr>
                <w:rFonts w:hint="eastAsia" w:ascii="宋体" w:hAnsi="宋体"/>
              </w:rPr>
            </w:pPr>
            <w:r>
              <w:rPr>
                <w:rFonts w:hint="eastAsia" w:ascii="宋体" w:hAnsi="宋体"/>
              </w:rPr>
              <w:t xml:space="preserve">08:30-11:00</w:t>
            </w:r>
            <w:r/>
          </w:p>
          <w:p>
            <w:pPr>
              <w:jc w:val="center"/>
              <w:spacing w:line="440" w:lineRule="exact"/>
              <w:widowControl/>
              <w:rPr>
                <w:rFonts w:hint="eastAsia" w:ascii="宋体" w:hAnsi="宋体"/>
              </w:rPr>
            </w:pPr>
            <w:r>
              <w:rPr>
                <w:rFonts w:hint="eastAsia" w:ascii="宋体" w:hAnsi="宋体"/>
              </w:rPr>
              <w:t xml:space="preserve">13:00-17:00</w:t>
            </w:r>
            <w:r/>
          </w:p>
        </w:tc>
        <w:tc>
          <w:tcPr>
            <w:tcW w:w="2312" w:type="dxa"/>
            <w:vAlign w:val="center"/>
            <w:textDirection w:val="lrTb"/>
            <w:noWrap w:val="false"/>
          </w:tcPr>
          <w:p>
            <w:r/>
            <w:r/>
          </w:p>
          <w:p>
            <w:pPr>
              <w:jc w:val="center"/>
              <w:spacing w:line="440" w:lineRule="exact"/>
              <w:widowControl/>
              <w:rPr>
                <w:rFonts w:hint="eastAsia" w:ascii="宋体" w:hAnsi="宋体"/>
              </w:rPr>
            </w:pPr>
            <w:r>
              <w:rPr>
                <w:rFonts w:hint="eastAsia" w:ascii="宋体" w:hAnsi="宋体"/>
              </w:rPr>
              <w:t xml:space="preserve">时段内巡回保洁</w:t>
            </w:r>
            <w:r/>
          </w:p>
        </w:tc>
      </w:tr>
      <w:tr>
        <w:trPr>
          <w:trHeight w:val="1922"/>
        </w:trPr>
        <w:tc>
          <w:tcPr>
            <w:gridSpan w:val="4"/>
            <w:tcW w:w="8440" w:type="dxa"/>
            <w:textDirection w:val="lrTb"/>
            <w:noWrap w:val="false"/>
          </w:tcPr>
          <w:p>
            <w:pPr>
              <w:ind w:firstLine="420"/>
              <w:jc w:val="left"/>
              <w:spacing w:line="440" w:lineRule="exact"/>
              <w:widowControl/>
              <w:rPr>
                <w:rFonts w:hint="eastAsia" w:ascii="宋体" w:hAnsi="宋体"/>
              </w:rPr>
            </w:pPr>
            <w:r>
              <w:rPr>
                <w:rFonts w:hint="eastAsia" w:ascii="宋体" w:hAnsi="宋体"/>
              </w:rPr>
              <w:t xml:space="preserve">说明：1、遇重大检查时作业方式按采购人的要求执行。</w:t>
            </w:r>
            <w:r/>
          </w:p>
          <w:p>
            <w:pPr>
              <w:ind w:firstLine="420"/>
              <w:jc w:val="left"/>
              <w:spacing w:line="440" w:lineRule="exact"/>
              <w:widowControl/>
              <w:rPr>
                <w:rFonts w:hint="eastAsia" w:ascii="宋体" w:hAnsi="宋体"/>
              </w:rPr>
            </w:pPr>
            <w:r>
              <w:rPr>
                <w:rFonts w:hint="eastAsia" w:ascii="宋体" w:hAnsi="宋体"/>
              </w:rPr>
              <w:t xml:space="preserve">2、高温作业时间由采购人员另行通知。</w:t>
            </w:r>
            <w:r/>
          </w:p>
          <w:p>
            <w:pPr>
              <w:ind w:firstLine="420"/>
              <w:jc w:val="left"/>
              <w:spacing w:line="440" w:lineRule="exact"/>
              <w:widowControl/>
              <w:rPr>
                <w:rFonts w:hint="eastAsia" w:ascii="宋体" w:hAnsi="宋体"/>
              </w:rPr>
            </w:pPr>
            <w:r>
              <w:rPr>
                <w:rFonts w:hint="eastAsia" w:ascii="宋体" w:hAnsi="宋体"/>
              </w:rPr>
              <w:t xml:space="preserve">3、巡回保洁时段内人员作业时不得离岗倾倒或拖运垃圾，否则视为脱岗。</w:t>
            </w:r>
            <w:r/>
          </w:p>
          <w:p>
            <w:pPr>
              <w:ind w:firstLine="420"/>
              <w:jc w:val="left"/>
              <w:spacing w:line="440" w:lineRule="exact"/>
              <w:widowControl/>
              <w:rPr>
                <w:rFonts w:hint="eastAsia" w:ascii="宋体" w:hAnsi="宋体"/>
              </w:rPr>
            </w:pPr>
            <w:r>
              <w:rPr>
                <w:rFonts w:hint="eastAsia" w:ascii="宋体" w:hAnsi="宋体"/>
              </w:rPr>
              <w:t xml:space="preserve">4、机械化清扫保洁道路作业，要求每班次一清扫一保洁。</w:t>
            </w:r>
            <w:r/>
          </w:p>
        </w:tc>
      </w:tr>
    </w:tbl>
    <w:p>
      <w:pPr>
        <w:ind w:firstLine="420"/>
        <w:jc w:val="left"/>
        <w:spacing w:line="440" w:lineRule="exact"/>
        <w:widowControl/>
        <w:rPr>
          <w:rFonts w:hint="eastAsia" w:ascii="宋体" w:hAnsi="宋体"/>
        </w:rPr>
      </w:pPr>
      <w:r>
        <w:rPr>
          <w:rFonts w:hint="eastAsia" w:ascii="宋体" w:hAnsi="宋体"/>
        </w:rPr>
        <w:t xml:space="preserve">道路作业时间要求详见附件一道路附表</w:t>
      </w:r>
      <w:r/>
    </w:p>
    <w:p>
      <w:pPr>
        <w:ind w:firstLine="420"/>
        <w:jc w:val="left"/>
        <w:spacing w:line="440" w:lineRule="exact"/>
        <w:widowControl/>
        <w:rPr>
          <w:rFonts w:hint="eastAsia" w:ascii="宋体" w:hAnsi="宋体"/>
        </w:rPr>
      </w:pPr>
      <w:r>
        <w:rPr>
          <w:rFonts w:hint="eastAsia" w:ascii="宋体" w:hAnsi="宋体"/>
        </w:rPr>
        <w:t xml:space="preserve">3、环卫设施开放时间</w:t>
      </w:r>
      <w:r/>
    </w:p>
    <w:p>
      <w:pPr>
        <w:ind w:firstLine="420"/>
        <w:jc w:val="left"/>
        <w:spacing w:line="440" w:lineRule="exact"/>
        <w:widowControl/>
        <w:rPr>
          <w:rFonts w:hint="eastAsia" w:ascii="宋体" w:hAnsi="宋体"/>
        </w:rPr>
      </w:pPr>
      <w:r>
        <w:rPr>
          <w:rFonts w:hint="eastAsia" w:ascii="宋体" w:hAnsi="宋体"/>
        </w:rPr>
        <w:t xml:space="preserve">公厕每日开放时间：公厕每日开放时间：00:00-24:00(保持对公众开放)。</w:t>
      </w:r>
      <w:r/>
    </w:p>
    <w:p>
      <w:pPr>
        <w:ind w:firstLine="420"/>
        <w:jc w:val="left"/>
        <w:spacing w:line="440" w:lineRule="exact"/>
        <w:widowControl/>
        <w:rPr>
          <w:rFonts w:hint="eastAsia" w:ascii="宋体" w:hAnsi="宋体"/>
        </w:rPr>
      </w:pPr>
      <w:r>
        <w:rPr>
          <w:rFonts w:hint="eastAsia" w:ascii="宋体" w:hAnsi="宋体"/>
        </w:rPr>
        <w:t xml:space="preserve">压缩站每日开放时间：3:00-10:30，12:30-16:00,采购人有特殊要求的按照采购人要求。</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（三）作业质量要求</w:t>
      </w:r>
      <w:r/>
    </w:p>
    <w:p>
      <w:pPr>
        <w:ind w:firstLine="420"/>
        <w:jc w:val="left"/>
        <w:spacing w:line="440" w:lineRule="exact"/>
        <w:widowControl/>
        <w:rPr>
          <w:rFonts w:hint="eastAsia" w:ascii="宋体" w:hAnsi="宋体"/>
        </w:rPr>
      </w:pPr>
      <w:r>
        <w:rPr>
          <w:rFonts w:hint="eastAsia" w:ascii="宋体" w:hAnsi="宋体"/>
        </w:rPr>
        <w:t xml:space="preserve">1、按《市政府关于进一步完善常州市城市长效综合管理考核工作 的实施意见》、《常州市城市环卫作业质量考核办法》和《常州市新北区环境卫生作业考评细则》的相关规定要求执行。</w:t>
      </w:r>
      <w:r/>
    </w:p>
    <w:p>
      <w:pPr>
        <w:ind w:firstLine="420"/>
        <w:jc w:val="left"/>
        <w:spacing w:line="440" w:lineRule="exact"/>
        <w:widowControl/>
        <w:rPr>
          <w:rFonts w:hint="eastAsia" w:ascii="宋体" w:hAnsi="宋体"/>
        </w:rPr>
      </w:pPr>
      <w:r>
        <w:rPr>
          <w:rFonts w:hint="eastAsia" w:ascii="宋体" w:hAnsi="宋体"/>
        </w:rPr>
        <w:t xml:space="preserve">2、雾霾天气、大气环保保障按上级部门通知和要求进行作业，作 业费用另行结算。</w:t>
      </w:r>
      <w:r/>
    </w:p>
    <w:p>
      <w:pPr>
        <w:ind w:firstLine="420"/>
        <w:jc w:val="left"/>
        <w:spacing w:line="440" w:lineRule="exact"/>
        <w:widowControl/>
        <w:rPr>
          <w:rFonts w:hint="eastAsia" w:ascii="宋体" w:hAnsi="宋体"/>
        </w:rPr>
      </w:pPr>
      <w:r>
        <w:rPr>
          <w:rFonts w:hint="eastAsia" w:ascii="宋体" w:hAnsi="宋体"/>
        </w:rPr>
        <w:t xml:space="preserve">3、遇有重大活动、灾害性雨雪天气等特殊情况，组织员工按照应 急预案和镇(街道)的要求，做好保障工作，采购人不承担额外费用。</w:t>
      </w:r>
      <w:r/>
    </w:p>
    <w:p>
      <w:pPr>
        <w:ind w:firstLine="420"/>
        <w:jc w:val="left"/>
        <w:spacing w:line="440" w:lineRule="exact"/>
        <w:widowControl/>
        <w:rPr>
          <w:rFonts w:hint="eastAsia" w:ascii="宋体" w:hAnsi="宋体"/>
        </w:rPr>
      </w:pPr>
      <w:r>
        <w:rPr>
          <w:rFonts w:hint="eastAsia" w:ascii="宋体" w:hAnsi="宋体"/>
        </w:rPr>
        <w:t xml:space="preserve">4、公厕作业要求：</w:t>
      </w:r>
      <w:r/>
    </w:p>
    <w:p>
      <w:pPr>
        <w:ind w:firstLine="420"/>
        <w:jc w:val="left"/>
        <w:spacing w:line="440" w:lineRule="exact"/>
        <w:widowControl/>
        <w:rPr>
          <w:rFonts w:hint="eastAsia" w:ascii="宋体" w:hAnsi="宋体"/>
        </w:rPr>
      </w:pPr>
      <w:r>
        <w:rPr>
          <w:rFonts w:hint="eastAsia" w:ascii="宋体" w:hAnsi="宋体"/>
        </w:rPr>
        <w:t xml:space="preserve">(1)公共厕所的日常保洁；公共厕所周边5米范围的保洁；公共 厕所的消杀工作；公共厕所产生的垃圾的收集及处置；公共厕所设施的 管 理 。</w:t>
      </w:r>
      <w:r/>
    </w:p>
    <w:p>
      <w:pPr>
        <w:ind w:firstLine="420"/>
        <w:jc w:val="left"/>
        <w:spacing w:line="440" w:lineRule="exact"/>
        <w:widowControl/>
        <w:rPr>
          <w:rFonts w:hint="eastAsia" w:ascii="宋体" w:hAnsi="宋体"/>
        </w:rPr>
      </w:pPr>
      <w:r>
        <w:rPr>
          <w:rFonts w:hint="eastAsia" w:ascii="宋体" w:hAnsi="宋体"/>
        </w:rPr>
        <w:t xml:space="preserve">(2)公厕巡回保洁，每个时间段不小于三次，巡回保洁作业安排 由中标人书面向采购人报批；特殊情况下，由采购人指定作业时间和方式，消 杀时间为每年5月至10月。</w:t>
      </w:r>
      <w:r/>
    </w:p>
    <w:p>
      <w:pPr>
        <w:ind w:firstLine="420"/>
        <w:jc w:val="left"/>
        <w:spacing w:line="440" w:lineRule="exact"/>
        <w:widowControl/>
        <w:rPr>
          <w:rFonts w:hint="eastAsia" w:ascii="宋体" w:hAnsi="宋体"/>
        </w:rPr>
      </w:pPr>
      <w:r>
        <w:rPr>
          <w:rFonts w:hint="eastAsia" w:ascii="宋体" w:hAnsi="宋体"/>
        </w:rPr>
        <w:t xml:space="preserve">5、道路人工保洁作业要求</w:t>
      </w:r>
      <w:r/>
    </w:p>
    <w:p>
      <w:pPr>
        <w:ind w:firstLine="420"/>
        <w:jc w:val="left"/>
        <w:spacing w:line="440" w:lineRule="exact"/>
        <w:widowControl/>
        <w:rPr>
          <w:rFonts w:hint="eastAsia" w:ascii="宋体" w:hAnsi="宋体"/>
        </w:rPr>
      </w:pPr>
      <w:r>
        <w:rPr>
          <w:rFonts w:hint="eastAsia" w:ascii="宋体" w:hAnsi="宋体"/>
        </w:rPr>
        <w:t xml:space="preserve">(1)作业服务量清单所列面积及道路长度仅供参考，实际作业服 务范围现场交接时由采购人加以明确。</w:t>
      </w:r>
      <w:r/>
    </w:p>
    <w:p>
      <w:pPr>
        <w:ind w:firstLine="420"/>
        <w:jc w:val="left"/>
        <w:spacing w:line="440" w:lineRule="exact"/>
        <w:widowControl/>
        <w:rPr>
          <w:rFonts w:hint="eastAsia" w:ascii="宋体" w:hAnsi="宋体"/>
        </w:rPr>
      </w:pPr>
      <w:r>
        <w:rPr>
          <w:rFonts w:hint="eastAsia" w:ascii="宋体" w:hAnsi="宋体"/>
        </w:rPr>
        <w:t xml:space="preserve">(2)每天普扫后，其余时间进行不间断保洁作业。</w:t>
      </w:r>
      <w:r/>
    </w:p>
    <w:p>
      <w:pPr>
        <w:ind w:firstLine="420"/>
        <w:jc w:val="left"/>
        <w:spacing w:line="440" w:lineRule="exact"/>
        <w:widowControl/>
        <w:rPr>
          <w:rFonts w:hint="eastAsia" w:ascii="宋体" w:hAnsi="宋体"/>
        </w:rPr>
      </w:pPr>
      <w:r>
        <w:rPr>
          <w:rFonts w:hint="eastAsia" w:ascii="宋体" w:hAnsi="宋体"/>
        </w:rPr>
        <w:t xml:space="preserve">(3)车行道、人行道及绿化带内废弃物，如果皮、纸屑、塑膜、 烟蒂、痰迹等不得大于零废弃物控制指标，且路面无污水。</w:t>
      </w:r>
      <w:r/>
    </w:p>
    <w:p>
      <w:pPr>
        <w:ind w:firstLine="420"/>
        <w:jc w:val="left"/>
        <w:spacing w:line="440" w:lineRule="exact"/>
        <w:widowControl/>
        <w:rPr>
          <w:rFonts w:hint="eastAsia" w:ascii="宋体" w:hAnsi="宋体"/>
        </w:rPr>
      </w:pPr>
      <w:r>
        <w:rPr>
          <w:rFonts w:hint="eastAsia" w:ascii="宋体" w:hAnsi="宋体"/>
        </w:rPr>
        <w:t xml:space="preserve">(4)全路段清扫无死角，垃圾无漏收；雨水窨井无阻塞。</w:t>
      </w:r>
      <w:r/>
    </w:p>
    <w:p>
      <w:pPr>
        <w:ind w:firstLine="420"/>
        <w:jc w:val="left"/>
        <w:spacing w:line="440" w:lineRule="exact"/>
        <w:widowControl/>
        <w:rPr>
          <w:rFonts w:hint="eastAsia" w:ascii="宋体" w:hAnsi="宋体"/>
        </w:rPr>
      </w:pPr>
      <w:r>
        <w:rPr>
          <w:rFonts w:hint="eastAsia" w:ascii="宋体" w:hAnsi="宋体"/>
        </w:rPr>
        <w:t xml:space="preserve">(5)严禁手推车工人离岗倾倒垃圾。</w:t>
      </w:r>
      <w:r/>
    </w:p>
    <w:p>
      <w:pPr>
        <w:ind w:firstLine="420"/>
        <w:jc w:val="left"/>
        <w:spacing w:line="440" w:lineRule="exact"/>
        <w:widowControl/>
        <w:rPr>
          <w:rFonts w:hint="eastAsia" w:ascii="宋体" w:hAnsi="宋体"/>
        </w:rPr>
      </w:pPr>
      <w:r>
        <w:rPr>
          <w:rFonts w:hint="eastAsia" w:ascii="宋体" w:hAnsi="宋体"/>
        </w:rPr>
        <w:t xml:space="preserve">(6)手推车必须套袋或装内胆以便向电瓶车转移，严禁垃圾倾倒 在路面，造成二次污染。</w:t>
      </w:r>
      <w:r/>
    </w:p>
    <w:p>
      <w:pPr>
        <w:ind w:firstLine="420"/>
        <w:jc w:val="left"/>
        <w:spacing w:line="440" w:lineRule="exact"/>
        <w:widowControl/>
        <w:rPr>
          <w:rFonts w:hint="eastAsia" w:ascii="宋体" w:hAnsi="宋体"/>
        </w:rPr>
      </w:pPr>
      <w:r>
        <w:rPr>
          <w:rFonts w:hint="eastAsia" w:ascii="宋体" w:hAnsi="宋体"/>
        </w:rPr>
        <w:t xml:space="preserve">(7)降雪天气，应根据采购人指令及时组织铲雪除冰作业。道路融 雪后，路面煤渣、灰沙及其它废弃物应及时清扫干净。</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（四）其它要求</w:t>
      </w:r>
      <w:r/>
    </w:p>
    <w:p>
      <w:pPr>
        <w:ind w:firstLine="420"/>
        <w:jc w:val="left"/>
        <w:spacing w:line="440" w:lineRule="exact"/>
        <w:widowControl/>
        <w:rPr>
          <w:rFonts w:hint="eastAsia" w:ascii="宋体" w:hAnsi="宋体"/>
        </w:rPr>
      </w:pPr>
      <w:r>
        <w:rPr>
          <w:rFonts w:hint="eastAsia" w:ascii="宋体" w:hAnsi="宋体"/>
        </w:rPr>
        <w:t xml:space="preserve">1、文明作业要求：对作业人员进行文明作业方面的教育；作业人员必须穿着环卫标志服，严禁穿拖鞋上岗；作业时轻拿轻放，文明作业， 严禁故意挥扬尘；垃圾运输车辆必须完好、密封、整洁；作业职工之间 严禁传播不文明信息。</w:t>
      </w:r>
      <w:r/>
    </w:p>
    <w:p>
      <w:pPr>
        <w:ind w:firstLine="420"/>
        <w:jc w:val="left"/>
        <w:spacing w:line="440" w:lineRule="exact"/>
        <w:widowControl/>
        <w:rPr>
          <w:rFonts w:hint="eastAsia"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6435725</wp:posOffset>
                </wp:positionH>
                <wp:positionV relativeFrom="paragraph">
                  <wp:posOffset>621665</wp:posOffset>
                </wp:positionV>
                <wp:extent cx="67310" cy="86995"/>
                <wp:effectExtent l="0" t="10160" r="0" b="0"/>
                <wp:wrapNone/>
                <wp:docPr id="5" name="TextBox 6"/>
                <wp:cNvGraphicFramePr/>
                <a:graphic xmlns:a="http://schemas.openxmlformats.org/drawingml/2006/main">
                  <a:graphicData uri="http://schemas.microsoft.com/office/word/2010/wordprocessingShape">
                    <wps:wsp>
                      <wps:cNvPr id="0" name=""/>
                      <wps:cNvSpPr txBox="1"/>
                      <wps:spPr bwMode="auto">
                        <a:xfrm rot="16199998">
                          <a:off x="6436087" y="622085"/>
                          <a:ext cx="67310" cy="86994"/>
                        </a:xfrm>
                        <a:prstGeom prst="rect">
                          <a:avLst/>
                        </a:prstGeom>
                        <a:noFill/>
                        <a:ln w="0" cap="flat">
                          <a:noFill/>
                          <a:prstDash val="solid"/>
                          <a:miter lim="0"/>
                        </a:ln>
                      </wps:spPr>
                      <wps:style>
                        <a:lnRef idx="0">
                          <a:schemeClr val="accent1"/>
                        </a:lnRef>
                        <a:fillRef idx="0">
                          <a:schemeClr val="accent1"/>
                        </a:fillRef>
                        <a:effectRef idx="0">
                          <a:schemeClr val="accent1"/>
                        </a:effectRef>
                        <a:fontRef idx="minor">
                          <a:schemeClr val="dk1"/>
                        </a:fontRef>
                      </wps:style>
                      <wps:txbx>
                        <w:txbxContent>
                          <w:p>
                            <w:pPr>
                              <w:ind w:left="20"/>
                              <w:spacing w:before="33" w:line="220" w:lineRule="auto"/>
                              <w:rPr>
                                <w:rFonts w:hint="eastAsia" w:ascii="宋体" w:hAnsi="宋体" w:cs="宋体"/>
                                <w:sz w:val="7"/>
                                <w:szCs w:val="7"/>
                              </w:rPr>
                            </w:pPr>
                            <w:r>
                              <w:rPr>
                                <w:rFonts w:ascii="宋体" w:hAnsi="宋体" w:cs="宋体"/>
                                <w:sz w:val="7"/>
                                <w:szCs w:val="7"/>
                              </w:rPr>
                              <w:t xml:space="preserve">马</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1312;o:allowoverlap:true;o:allowincell:true;mso-position-horizontal-relative:text;margin-left:506.8pt;mso-position-horizontal:absolute;mso-position-vertical-relative:text;margin-top:48.9pt;mso-position-vertical:absolute;width:5.3pt;height:6.8pt;mso-wrap-distance-left:0.0pt;mso-wrap-distance-top:0.0pt;mso-wrap-distance-right:0.0pt;mso-wrap-distance-bottom:0.0pt;rotation:269;v-text-anchor:top;visibility:visible;" filled="f" stroked="f" strokeweight="0.00pt">
                <v:stroke dashstyle="solid"/>
                <v:textbox inset="0,0,0,0">
                  <w:txbxContent>
                    <w:p>
                      <w:pPr>
                        <w:ind w:left="20"/>
                        <w:spacing w:before="33" w:line="220" w:lineRule="auto"/>
                        <w:rPr>
                          <w:rFonts w:hint="eastAsia" w:ascii="宋体" w:hAnsi="宋体" w:cs="宋体"/>
                          <w:sz w:val="7"/>
                          <w:szCs w:val="7"/>
                        </w:rPr>
                      </w:pPr>
                      <w:r>
                        <w:rPr>
                          <w:rFonts w:ascii="宋体" w:hAnsi="宋体" w:cs="宋体"/>
                          <w:sz w:val="7"/>
                          <w:szCs w:val="7"/>
                        </w:rPr>
                        <w:t xml:space="preserve">马</w:t>
                      </w:r>
                      <w:r/>
                    </w:p>
                  </w:txbxContent>
                </v:textbox>
              </v:shape>
            </w:pict>
          </mc:Fallback>
        </mc:AlternateContent>
      </w: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6438265</wp:posOffset>
                </wp:positionH>
                <wp:positionV relativeFrom="paragraph">
                  <wp:posOffset>322580</wp:posOffset>
                </wp:positionV>
                <wp:extent cx="67945" cy="81915"/>
                <wp:effectExtent l="0" t="0" r="0" b="0"/>
                <wp:wrapNone/>
                <wp:docPr id="6" name="文本框 1"/>
                <wp:cNvGraphicFramePr/>
                <a:graphic xmlns:a="http://schemas.openxmlformats.org/drawingml/2006/main">
                  <a:graphicData uri="http://schemas.microsoft.com/office/word/2010/wordprocessingShape">
                    <wps:wsp>
                      <wps:cNvPr id="0" name=""/>
                      <wps:cNvSpPr txBox="1"/>
                      <wps:spPr bwMode="auto">
                        <a:xfrm>
                          <a:off x="0" y="0"/>
                          <a:ext cx="67945" cy="81915"/>
                        </a:xfrm>
                        <a:prstGeom prst="rect">
                          <a:avLst/>
                        </a:prstGeom>
                        <a:noFill/>
                        <a:ln>
                          <a:noFill/>
                        </a:ln>
                      </wps:spPr>
                      <wps:txbx>
                        <w:txbxContent>
                          <w:p>
                            <w:pPr>
                              <w:ind w:left="20"/>
                              <w:spacing w:before="20" w:line="232" w:lineRule="auto"/>
                              <w:rPr>
                                <w:rFonts w:hint="eastAsia" w:ascii="宋体" w:hAnsi="宋体" w:cs="宋体"/>
                                <w:sz w:val="7"/>
                                <w:szCs w:val="7"/>
                              </w:rPr>
                            </w:pPr>
                            <w:r>
                              <w:rPr>
                                <w:rFonts w:ascii="宋体" w:hAnsi="宋体" w:cs="宋体"/>
                                <w:sz w:val="7"/>
                                <w:szCs w:val="7"/>
                              </w:rPr>
                              <w:t xml:space="preserve">上</w:t>
                            </w:r>
                            <w:r/>
                          </w:p>
                        </w:txbxContent>
                      </wps:txbx>
                      <wps:bodyPr lIns="0" tIns="0" rIns="0" bIns="0" upright="1"/>
                    </wps:wsp>
                  </a:graphicData>
                </a:graphic>
              </wp:anchor>
            </w:drawing>
          </mc:Choice>
          <mc:Fallback>
            <w:pict>
              <v:shape id="shape 5" o:spid="_x0000_s5" o:spt="202" type="#_x0000_t202" style="position:absolute;z-index:251660288;o:allowoverlap:true;o:allowincell:true;mso-position-horizontal-relative:text;margin-left:506.9pt;mso-position-horizontal:absolute;mso-position-vertical-relative:text;margin-top:25.4pt;mso-position-vertical:absolute;width:5.3pt;height:6.4pt;mso-wrap-distance-left:9.0pt;mso-wrap-distance-top:0.0pt;mso-wrap-distance-right:9.0pt;mso-wrap-distance-bottom:0.0pt;visibility:visible;" filled="f" stroked="f">
                <v:textbox inset="0,0,0,0">
                  <w:txbxContent>
                    <w:p>
                      <w:pPr>
                        <w:ind w:left="20"/>
                        <w:spacing w:before="20" w:line="232" w:lineRule="auto"/>
                        <w:rPr>
                          <w:rFonts w:hint="eastAsia" w:ascii="宋体" w:hAnsi="宋体" w:cs="宋体"/>
                          <w:sz w:val="7"/>
                          <w:szCs w:val="7"/>
                        </w:rPr>
                      </w:pPr>
                      <w:r>
                        <w:rPr>
                          <w:rFonts w:ascii="宋体" w:hAnsi="宋体" w:cs="宋体"/>
                          <w:sz w:val="7"/>
                          <w:szCs w:val="7"/>
                        </w:rPr>
                        <w:t xml:space="preserve">上</w:t>
                      </w:r>
                      <w:r/>
                    </w:p>
                  </w:txbxContent>
                </v:textbox>
              </v:shape>
            </w:pict>
          </mc:Fallback>
        </mc:AlternateContent>
      </w:r>
      <w:r>
        <w:rPr>
          <w:rFonts w:hint="eastAsia" w:ascii="宋体" w:hAnsi="宋体"/>
        </w:rPr>
        <w:t xml:space="preserve">2、安全作业要求：认真贯彻执行国家、省、市、区有关安全生产 的法律法规和规定；配备安全生产专(兼)职管理人员，建立完整的安 全生产管理网络；规章制度健全，工作职责落实，考核目标明确，坚持 奖惩分明；定期开展安全作业检查，发现问题及时整改；杜绝重、特大 安全事故，确保作业单位不发生企事业职工责任伤、亡事故和造成严重 影响的责任事故(包括但不限于爆炸、集中中毒和经济损失30万元以上等 ) 。</w:t>
      </w:r>
      <w:r/>
    </w:p>
    <w:p>
      <w:pPr>
        <w:ind w:firstLine="420"/>
        <w:jc w:val="left"/>
        <w:spacing w:line="440" w:lineRule="exact"/>
        <w:widowControl/>
        <w:rPr>
          <w:rFonts w:hint="eastAsia" w:ascii="宋体" w:hAnsi="宋体"/>
        </w:rPr>
      </w:pPr>
      <w:r>
        <w:rPr>
          <w:rFonts w:hint="eastAsia" w:ascii="宋体" w:hAnsi="宋体"/>
        </w:rPr>
        <w:t xml:space="preserve">★环卫作业期内，一旦发生安全事故造成相关方人身、财产损害的，由中标人承担所有责任和附带的赔偿款项，采购人不承担任何责任及费用。</w:t>
      </w:r>
      <w:r>
        <w:rPr>
          <w:rFonts w:hint="eastAsia" w:ascii="宋体" w:hAnsi="宋体"/>
          <w:b/>
          <w:bCs/>
        </w:rPr>
        <w:t xml:space="preserve">（本条为实质性要求，投标人提供承诺函加盖公章，格式自拟，否则视为无效响应。）</w:t>
      </w:r>
      <w:r/>
    </w:p>
    <w:p>
      <w:pPr>
        <w:ind w:firstLine="420"/>
        <w:jc w:val="left"/>
        <w:spacing w:line="440" w:lineRule="exact"/>
        <w:widowControl/>
        <w:rPr>
          <w:rFonts w:hint="eastAsia" w:ascii="宋体" w:hAnsi="宋体"/>
        </w:rPr>
      </w:pPr>
      <w:r>
        <w:rPr>
          <w:rFonts w:hint="eastAsia" w:ascii="宋体" w:hAnsi="宋体"/>
        </w:rPr>
        <w:t xml:space="preserve">各环卫作业单位必须为每一位作业人员购买人身意外险，符合条件 的还应办理社保手续。</w:t>
      </w:r>
      <w:r/>
    </w:p>
    <w:p>
      <w:pPr>
        <w:ind w:firstLine="420"/>
        <w:jc w:val="left"/>
        <w:spacing w:line="440" w:lineRule="exact"/>
        <w:widowControl/>
        <w:rPr>
          <w:rFonts w:hint="eastAsia" w:ascii="宋体" w:hAnsi="宋体"/>
        </w:rPr>
      </w:pPr>
      <w:r>
        <w:rPr>
          <w:rFonts w:hint="eastAsia" w:ascii="宋体" w:hAnsi="宋体"/>
        </w:rPr>
        <w:t xml:space="preserve">3、中标人每个月必须组织所有员工进行安全生产培训。</w:t>
      </w:r>
      <w:r/>
    </w:p>
    <w:p>
      <w:pPr>
        <w:ind w:firstLine="420"/>
        <w:jc w:val="left"/>
        <w:spacing w:line="440" w:lineRule="exact"/>
        <w:widowControl/>
        <w:rPr>
          <w:rFonts w:hint="eastAsia" w:ascii="宋体" w:hAnsi="宋体"/>
        </w:rPr>
      </w:pPr>
      <w:r>
        <w:rPr>
          <w:rFonts w:hint="eastAsia" w:ascii="宋体" w:hAnsi="宋体"/>
        </w:rPr>
        <w:t xml:space="preserve">4、有以下情况出现的，委托方将予以解除本委托书或调整委托作 业面积、区域，另行安排委托作业：</w:t>
      </w:r>
      <w:r/>
    </w:p>
    <w:p>
      <w:pPr>
        <w:ind w:firstLine="420"/>
        <w:jc w:val="left"/>
        <w:spacing w:line="440" w:lineRule="exact"/>
        <w:widowControl/>
        <w:rPr>
          <w:rFonts w:hint="eastAsia" w:ascii="宋体" w:hAnsi="宋体"/>
        </w:rPr>
      </w:pPr>
      <w:r>
        <w:rPr>
          <w:rFonts w:hint="eastAsia" w:ascii="宋体" w:hAnsi="宋体"/>
        </w:rPr>
        <w:t xml:space="preserve">(1)被委托方未按照相关规定、程序以及本委托书的约定进行选 择环卫作业单位的。</w:t>
      </w:r>
      <w:r/>
    </w:p>
    <w:p>
      <w:pPr>
        <w:ind w:firstLine="420"/>
        <w:jc w:val="left"/>
        <w:spacing w:line="440" w:lineRule="exact"/>
        <w:widowControl/>
        <w:rPr>
          <w:rFonts w:hint="eastAsia" w:ascii="宋体" w:hAnsi="宋体"/>
        </w:rPr>
      </w:pPr>
      <w:r>
        <w:rPr>
          <w:rFonts w:hint="eastAsia" w:ascii="宋体" w:hAnsi="宋体"/>
        </w:rPr>
        <w:t xml:space="preserve">(2)被委托方因自身管理、机械配备和人员保障等方面不具备履 行本委托协议作业内容的。</w:t>
      </w:r>
      <w:r/>
    </w:p>
    <w:p>
      <w:pPr>
        <w:ind w:firstLine="420"/>
        <w:jc w:val="left"/>
        <w:spacing w:line="440" w:lineRule="exact"/>
        <w:widowControl/>
        <w:rPr>
          <w:rFonts w:hint="eastAsia" w:ascii="宋体" w:hAnsi="宋体"/>
        </w:rPr>
      </w:pPr>
      <w:r>
        <w:rPr>
          <w:rFonts w:hint="eastAsia" w:ascii="宋体" w:hAnsi="宋体"/>
        </w:rPr>
        <w:t xml:space="preserve">5、保险要求</w:t>
      </w:r>
      <w:r/>
    </w:p>
    <w:p>
      <w:pPr>
        <w:ind w:firstLine="420"/>
        <w:jc w:val="left"/>
        <w:spacing w:line="440" w:lineRule="exact"/>
        <w:widowControl/>
        <w:rPr>
          <w:rFonts w:hint="eastAsia" w:ascii="宋体" w:hAnsi="宋体"/>
        </w:rPr>
      </w:pPr>
      <w:r>
        <w:rPr>
          <w:rFonts w:hint="eastAsia" w:ascii="宋体" w:hAnsi="宋体"/>
        </w:rPr>
        <w:t xml:space="preserve">中标人应充分评估本项目的风险，并购买环卫清洁服务过程中所需的 保险，保证保险的有效期自本合同生效之日起至结束为止。保险包括但 不限于：</w:t>
      </w:r>
      <w:r/>
    </w:p>
    <w:p>
      <w:pPr>
        <w:ind w:firstLine="420"/>
        <w:jc w:val="left"/>
        <w:spacing w:line="440" w:lineRule="exact"/>
        <w:widowControl/>
        <w:rPr>
          <w:rFonts w:hint="eastAsia" w:ascii="宋体" w:hAnsi="宋体"/>
        </w:rPr>
      </w:pPr>
      <w:r>
        <w:rPr>
          <w:rFonts w:hint="eastAsia" w:ascii="宋体" w:hAnsi="宋体"/>
        </w:rPr>
        <w:t xml:space="preserve">(1)中标人必须按规定为参与本项目的车辆购买保额为不低于100 万的第三方责任保险。</w:t>
      </w:r>
      <w:r/>
    </w:p>
    <w:p>
      <w:pPr>
        <w:ind w:firstLine="420"/>
        <w:jc w:val="left"/>
        <w:spacing w:line="440" w:lineRule="exact"/>
        <w:widowControl/>
        <w:rPr>
          <w:rFonts w:hint="eastAsia" w:ascii="宋体" w:hAnsi="宋体"/>
        </w:rPr>
      </w:pPr>
      <w:r>
        <w:rPr>
          <w:rFonts w:hint="eastAsia" w:ascii="宋体" w:hAnsi="宋体"/>
        </w:rPr>
        <w:t xml:space="preserve">(2)中标人必须按规定为员工购买社会保险，并为环卫工人购买人 身意外伤亡保险。</w:t>
      </w:r>
      <w:r/>
    </w:p>
    <w:p>
      <w:pPr>
        <w:ind w:firstLine="420"/>
        <w:jc w:val="left"/>
        <w:spacing w:line="440" w:lineRule="exact"/>
        <w:widowControl/>
        <w:rPr>
          <w:rFonts w:hint="eastAsia" w:ascii="宋体" w:hAnsi="宋体"/>
        </w:rPr>
      </w:pPr>
      <w:r>
        <w:rPr>
          <w:rFonts w:hint="eastAsia" w:ascii="宋体" w:hAnsi="宋体"/>
        </w:rPr>
        <w:t xml:space="preserve">(3)中标人须向采购人提供有效的保险单据和保险合同。</w:t>
      </w:r>
      <w:r/>
    </w:p>
    <w:p>
      <w:pPr>
        <w:ind w:firstLine="420"/>
        <w:jc w:val="left"/>
        <w:spacing w:line="440" w:lineRule="exact"/>
        <w:widowControl/>
        <w:rPr>
          <w:rFonts w:hint="eastAsia" w:ascii="宋体" w:hAnsi="宋体"/>
        </w:rPr>
      </w:pPr>
      <w:r>
        <w:rPr>
          <w:rFonts w:hint="eastAsia" w:ascii="宋体" w:hAnsi="宋体"/>
        </w:rPr>
        <w:t xml:space="preserve">(8)花岗岩花台每天清洗两次，并巡回保洁。</w:t>
      </w:r>
      <w:r/>
    </w:p>
    <w:p>
      <w:pPr>
        <w:ind w:firstLine="420"/>
        <w:jc w:val="left"/>
        <w:spacing w:line="440" w:lineRule="exact"/>
        <w:widowControl/>
        <w:rPr>
          <w:rFonts w:hint="eastAsia" w:ascii="宋体" w:hAnsi="宋体"/>
        </w:rPr>
      </w:pPr>
      <w:r>
        <w:rPr>
          <w:rFonts w:hint="eastAsia" w:ascii="宋体" w:hAnsi="宋体"/>
        </w:rPr>
        <w:t xml:space="preserve">6、垃圾清运作业要求：</w:t>
      </w:r>
      <w:r/>
    </w:p>
    <w:p>
      <w:pPr>
        <w:ind w:firstLine="420"/>
        <w:jc w:val="left"/>
        <w:spacing w:line="440" w:lineRule="exact"/>
        <w:widowControl/>
        <w:rPr>
          <w:rFonts w:hint="eastAsia" w:ascii="宋体" w:hAnsi="宋体"/>
        </w:rPr>
      </w:pPr>
      <w:r>
        <w:rPr>
          <w:rFonts w:hint="eastAsia" w:ascii="宋体" w:hAnsi="宋体"/>
        </w:rPr>
        <w:t xml:space="preserve">(1)垃圾收集清运时间为5:00-17:00,全天杜绝垃圾清运点出现 满溢。临街垃圾收集上午必须在9:00前完成。区自有产权的垃圾房、 垃圾亭、垃圾桶每天清洗一次。遇车辆故障等原因报由采购人临时调整。</w:t>
      </w:r>
      <w:r/>
    </w:p>
    <w:p>
      <w:pPr>
        <w:ind w:firstLine="420"/>
        <w:jc w:val="left"/>
        <w:spacing w:line="440" w:lineRule="exact"/>
        <w:widowControl/>
        <w:rPr>
          <w:rFonts w:hint="eastAsia" w:ascii="宋体" w:hAnsi="宋体"/>
        </w:rPr>
      </w:pPr>
      <w:r>
        <w:rPr>
          <w:rFonts w:hint="eastAsia" w:ascii="宋体" w:hAnsi="宋体"/>
        </w:rPr>
        <w:t xml:space="preserve">(2)垃圾清运点周围2米内必须打扫干净，无死角，无乱张贴。</w:t>
      </w:r>
      <w:r/>
    </w:p>
    <w:p>
      <w:pPr>
        <w:ind w:firstLine="420"/>
        <w:jc w:val="left"/>
        <w:spacing w:line="440" w:lineRule="exact"/>
        <w:widowControl/>
        <w:rPr>
          <w:rFonts w:hint="eastAsia" w:ascii="宋体" w:hAnsi="宋体"/>
        </w:rPr>
      </w:pPr>
      <w:r>
        <w:rPr>
          <w:rFonts w:hint="eastAsia" w:ascii="宋体" w:hAnsi="宋体"/>
        </w:rPr>
        <w:t xml:space="preserve">(3)垃圾清运车辆必须自觉遵守交通规则，做到安全生产。</w:t>
      </w:r>
      <w:r/>
    </w:p>
    <w:p>
      <w:pPr>
        <w:ind w:firstLine="420"/>
        <w:jc w:val="left"/>
        <w:spacing w:line="440" w:lineRule="exact"/>
        <w:widowControl/>
        <w:rPr>
          <w:rFonts w:hint="eastAsia" w:ascii="宋体" w:hAnsi="宋体"/>
        </w:rPr>
      </w:pPr>
      <w:r>
        <w:rPr>
          <w:rFonts w:hint="eastAsia" w:ascii="宋体" w:hAnsi="宋体"/>
        </w:rPr>
        <w:t xml:space="preserve">(4)垃圾清运车辆应保持容貌整洁，车辆编号、每日清洗，做到 车辆性能完好、干净整洁。</w:t>
      </w:r>
      <w:r/>
    </w:p>
    <w:p>
      <w:pPr>
        <w:ind w:firstLine="420"/>
        <w:jc w:val="left"/>
        <w:spacing w:line="440" w:lineRule="exact"/>
        <w:widowControl/>
        <w:rPr>
          <w:rFonts w:hint="eastAsia" w:ascii="宋体" w:hAnsi="宋体"/>
        </w:rPr>
      </w:pPr>
      <w:r>
        <w:rPr>
          <w:rFonts w:hint="eastAsia" w:ascii="宋体" w:hAnsi="宋体"/>
        </w:rPr>
        <w:t xml:space="preserve">(5)电瓶收集车应确保收集的生活垃圾送往指定的转运站或垃圾 房/亭，不得拒绝沿线居民向垃圾收集车辆内倾倒生活垃圾；直收直运 车辆应确保收集的生活垃圾送住指定终端。</w:t>
      </w:r>
      <w:r/>
    </w:p>
    <w:p>
      <w:pPr>
        <w:ind w:firstLine="420"/>
        <w:jc w:val="left"/>
        <w:spacing w:line="440" w:lineRule="exact"/>
        <w:widowControl/>
        <w:rPr>
          <w:rFonts w:hint="eastAsia" w:ascii="宋体" w:hAnsi="宋体"/>
        </w:rPr>
      </w:pPr>
      <w:r>
        <w:rPr>
          <w:rFonts w:hint="eastAsia" w:ascii="宋体" w:hAnsi="宋体"/>
        </w:rPr>
        <w:t xml:space="preserve">(6)每年5月1日至10月31日，应做好对垃圾收集点的蚊蝇等 消杀工作。</w:t>
      </w:r>
      <w:r/>
    </w:p>
    <w:p>
      <w:pPr>
        <w:ind w:firstLine="420"/>
        <w:jc w:val="left"/>
        <w:spacing w:line="440" w:lineRule="exact"/>
        <w:widowControl/>
        <w:rPr>
          <w:rFonts w:hint="eastAsia" w:ascii="宋体" w:hAnsi="宋体"/>
        </w:rPr>
      </w:pPr>
      <w:r>
        <w:rPr>
          <w:rFonts w:hint="eastAsia" w:ascii="宋体" w:hAnsi="宋体"/>
        </w:rPr>
        <w:t xml:space="preserve">(7)所有作业单位(特殊约定的除外)和个人严禁从事生活垃圾 有偿清运服务。</w:t>
      </w:r>
      <w:r/>
    </w:p>
    <w:p>
      <w:pPr>
        <w:ind w:firstLine="420"/>
        <w:jc w:val="left"/>
        <w:spacing w:line="440" w:lineRule="exact"/>
        <w:widowControl/>
        <w:rPr>
          <w:rFonts w:hint="eastAsia" w:ascii="宋体" w:hAnsi="宋体"/>
        </w:rPr>
      </w:pPr>
      <w:r>
        <w:rPr>
          <w:rFonts w:hint="eastAsia" w:ascii="宋体" w:hAnsi="宋体"/>
        </w:rPr>
        <w:t xml:space="preserve">(8)所有车辆严禁收运生活垃圾以外的任何废弃物。</w:t>
      </w:r>
      <w:r/>
    </w:p>
    <w:p>
      <w:pPr>
        <w:ind w:firstLine="420"/>
        <w:jc w:val="left"/>
        <w:spacing w:line="440" w:lineRule="exact"/>
        <w:widowControl/>
        <w:rPr>
          <w:rFonts w:hint="eastAsia" w:ascii="宋体" w:hAnsi="宋体"/>
        </w:rPr>
      </w:pPr>
      <w:r>
        <w:rPr>
          <w:rFonts w:hint="eastAsia" w:ascii="宋体" w:hAnsi="宋体"/>
        </w:rPr>
        <w:t xml:space="preserve">7.果壳箱清运清洗要求：</w:t>
      </w:r>
      <w:r/>
    </w:p>
    <w:p>
      <w:pPr>
        <w:ind w:firstLine="420"/>
        <w:jc w:val="left"/>
        <w:spacing w:line="440" w:lineRule="exact"/>
        <w:widowControl/>
        <w:rPr>
          <w:rFonts w:hint="eastAsia" w:ascii="宋体" w:hAnsi="宋体"/>
        </w:rPr>
      </w:pPr>
      <w:r>
        <w:rPr>
          <w:rFonts w:hint="eastAsia" w:ascii="宋体" w:hAnsi="宋体"/>
        </w:rPr>
        <w:t xml:space="preserve">(1)14小时以内(含14小时)保洁道路的果壳箱每天两清运两 清洗。</w:t>
      </w:r>
      <w:r/>
    </w:p>
    <w:p>
      <w:pPr>
        <w:ind w:firstLine="420"/>
        <w:jc w:val="left"/>
        <w:spacing w:line="440" w:lineRule="exact"/>
        <w:widowControl/>
        <w:rPr>
          <w:rFonts w:hint="eastAsia" w:ascii="宋体" w:hAnsi="宋体"/>
        </w:rPr>
      </w:pPr>
      <w:r>
        <w:rPr>
          <w:rFonts w:hint="eastAsia" w:ascii="宋体" w:hAnsi="宋体"/>
        </w:rPr>
        <w:t xml:space="preserve">果壳箱垃圾清运完成时间(每日两次):7:00前、15:00前； 清洗完成时间：9:00前、15:00前，清洗结束应及时收集沿街垃圾。</w:t>
      </w:r>
      <w:r/>
    </w:p>
    <w:p>
      <w:pPr>
        <w:pStyle w:val="1020"/>
        <w:jc w:val="both"/>
        <w:keepLines/>
        <w:keepNext/>
        <w:spacing w:line="240" w:lineRule="auto"/>
        <w:rPr>
          <w:sz w:val="28"/>
          <w:szCs w:val="28"/>
        </w:rPr>
      </w:pPr>
      <w:r>
        <w:rPr>
          <w:rFonts w:hint="eastAsia"/>
          <w:sz w:val="28"/>
          <w:szCs w:val="28"/>
        </w:rPr>
        <w:t xml:space="preserve">三、绿化养护的服务内容</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（一）绿化养护内容主要包括</w:t>
      </w:r>
      <w:r/>
    </w:p>
    <w:p>
      <w:pPr>
        <w:ind w:firstLine="420"/>
        <w:jc w:val="left"/>
        <w:spacing w:line="440" w:lineRule="exact"/>
        <w:widowControl/>
        <w:rPr>
          <w:rFonts w:hint="eastAsia" w:ascii="宋体" w:hAnsi="宋体"/>
        </w:rPr>
      </w:pPr>
      <w:r>
        <w:rPr>
          <w:rFonts w:hint="eastAsia" w:ascii="宋体" w:hAnsi="宋体"/>
        </w:rPr>
        <w:t xml:space="preserve">1、奔牛镇镇区管护项目总面积约562596平方米，涉及奔牛公园、运河公共绿地、运河文化带等17条管护片区。</w:t>
      </w:r>
      <w:r/>
    </w:p>
    <w:p>
      <w:pPr>
        <w:ind w:firstLine="420"/>
        <w:jc w:val="left"/>
        <w:spacing w:line="440" w:lineRule="exact"/>
        <w:widowControl/>
        <w:rPr>
          <w:rFonts w:hint="eastAsia" w:ascii="宋体" w:hAnsi="宋体"/>
        </w:rPr>
      </w:pPr>
      <w:r>
        <w:rPr>
          <w:rFonts w:hint="eastAsia" w:ascii="宋体" w:hAnsi="宋体"/>
        </w:rPr>
        <w:t xml:space="preserve">2、奔牛镇铁路及国省道周边，项目总面积约546694平方米，涉及城际铁路南北两侧绿地，G312国道S239省道奔牛段绿地管护。</w:t>
      </w:r>
      <w:r/>
    </w:p>
    <w:p>
      <w:pPr>
        <w:ind w:firstLine="420"/>
        <w:jc w:val="left"/>
        <w:spacing w:line="440" w:lineRule="exact"/>
        <w:widowControl/>
        <w:rPr>
          <w:rFonts w:hint="eastAsia" w:ascii="宋体" w:hAnsi="宋体" w:eastAsiaTheme="minorEastAsia"/>
        </w:rPr>
      </w:pPr>
      <w:r>
        <w:rPr>
          <w:rFonts w:hint="eastAsia" w:ascii="宋体" w:hAnsi="宋体"/>
        </w:rPr>
        <w:t xml:space="preserve">3、养护内容包括：养护、应急抢险、绿化补种等。</w:t>
      </w:r>
      <w:r/>
    </w:p>
    <w:p>
      <w:pPr>
        <w:ind w:firstLine="422"/>
        <w:jc w:val="left"/>
        <w:spacing w:line="460" w:lineRule="exact"/>
        <w:rPr>
          <w:rFonts w:hint="eastAsia" w:ascii="宋体" w:hAnsi="宋体" w:cs="宋体"/>
          <w:b/>
        </w:rPr>
      </w:pPr>
      <w:r>
        <w:rPr>
          <w:rFonts w:hint="eastAsia" w:ascii="宋体" w:hAnsi="宋体" w:cs="宋体"/>
          <w:b/>
        </w:rPr>
        <w:t xml:space="preserve">4、绿化管护清单如下：</w:t>
      </w:r>
      <w:r/>
    </w:p>
    <w:tbl>
      <w:tblPr>
        <w:tblW w:w="7442" w:type="dxa"/>
        <w:tblInd w:w="585" w:type="dxa"/>
        <w:tblLook w:val="04A0" w:firstRow="1" w:lastRow="0" w:firstColumn="1" w:lastColumn="0" w:noHBand="0" w:noVBand="1"/>
      </w:tblPr>
      <w:tblGrid>
        <w:gridCol w:w="656"/>
        <w:gridCol w:w="4616"/>
        <w:gridCol w:w="2170"/>
      </w:tblGrid>
      <w:tr>
        <w:trPr>
          <w:trHeight w:val="280"/>
        </w:trPr>
        <w:tc>
          <w:tcPr>
            <w:gridSpan w:val="3"/>
            <w:tcBorders>
              <w:top w:val="single" w:color="000000" w:sz="4" w:space="0"/>
              <w:left w:val="single" w:color="000000" w:sz="4" w:space="0"/>
              <w:bottom w:val="single" w:color="000000" w:sz="4" w:space="0"/>
              <w:right w:val="single" w:color="000000" w:sz="4" w:space="0"/>
            </w:tcBorders>
            <w:tcW w:w="7442"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lang w:bidi="ar"/>
              </w:rPr>
              <w:t xml:space="preserve">奔牛镇镇区管护清单</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管护范围</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面积（万㎡）</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奔牛公园绿化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1.4278</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老孟河（镇区段）</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0.4147</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紫竹园</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0.6075</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劲港路绿化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0.2292</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大运河北公共绿地</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9.9851</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新孟河至扁担河之间京杭运河两侧公共绿化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4.5033</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奔牛镇东侧公共绿地</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8.4996</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大运河南公共绿地</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11.7274</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9</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镇江界牌至新孟河之间京杭运河两侧公共绿化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4.2823</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扁担河至连江桥之间京杭运河两侧公共绿化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2.6371</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11</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万家富隧道绿化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0.25</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12</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运河生态廊道南岸天禧桥至西河口公共绿化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0.5841</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13</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东桥村史家大沟、西沙桥（部分）绿化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1.3797</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14</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兴奔路沿线（部分）绿化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1.7589</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黄泥河、金孟河、红星河（部分）绿化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2.0153</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16</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运河文化带二期廊道绿化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2.0796</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17</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金牛里社区 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3.878</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272"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tcPr>
          <w:p>
            <w:pPr>
              <w:jc w:val="center"/>
              <w:widowControl/>
              <w:rPr>
                <w:rFonts w:hint="eastAsia" w:ascii="宋体" w:hAnsi="宋体" w:cs="宋体"/>
                <w:sz w:val="22"/>
              </w:rPr>
            </w:pPr>
            <w:r>
              <w:rPr>
                <w:rFonts w:hint="eastAsia" w:ascii="宋体" w:hAnsi="宋体" w:cs="宋体"/>
                <w:sz w:val="22"/>
                <w:lang w:bidi="ar"/>
              </w:rPr>
              <w:t xml:space="preserve">56.2596</w:t>
            </w:r>
            <w:r/>
          </w:p>
        </w:tc>
      </w:tr>
      <w:tr>
        <w:trPr>
          <w:trHeight w:val="280"/>
        </w:trPr>
        <w:tc>
          <w:tcPr>
            <w:gridSpan w:val="3"/>
            <w:tcBorders>
              <w:top w:val="single" w:color="000000" w:sz="4" w:space="0"/>
              <w:left w:val="single" w:color="000000" w:sz="4" w:space="0"/>
              <w:bottom w:val="single" w:color="000000" w:sz="4" w:space="0"/>
              <w:right w:val="single" w:color="000000" w:sz="4" w:space="0"/>
            </w:tcBorders>
            <w:tcW w:w="7442" w:type="dxa"/>
            <w:vAlign w:val="center"/>
            <w:textDirection w:val="lrTb"/>
            <w:noWrap/>
          </w:tcPr>
          <w:p>
            <w:pPr>
              <w:jc w:val="center"/>
              <w:widowControl/>
              <w:rPr>
                <w:rFonts w:hint="eastAsia" w:ascii="宋体" w:hAnsi="宋体" w:cs="宋体"/>
                <w:b/>
                <w:bCs/>
                <w:sz w:val="22"/>
              </w:rPr>
            </w:pPr>
            <w:r>
              <w:rPr>
                <w:rFonts w:hint="eastAsia" w:ascii="宋体" w:hAnsi="宋体" w:cs="宋体"/>
                <w:b/>
                <w:bCs/>
                <w:sz w:val="22"/>
                <w:lang w:bidi="ar"/>
              </w:rPr>
              <w:t xml:space="preserve">铁路及国省道管护清单</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管护范围</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面积（万㎡）</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城际铁路南绿化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14.116</w:t>
            </w:r>
            <w:r/>
          </w:p>
        </w:tc>
      </w:tr>
      <w:tr>
        <w:trPr>
          <w:trHeight w:val="28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城际铁路北绿化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24.0052</w:t>
            </w:r>
            <w:r/>
          </w:p>
        </w:tc>
      </w:tr>
      <w:tr>
        <w:trPr>
          <w:trHeight w:val="56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4616"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G312国道、S239省道奔牛段绿化</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16.5482</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5272"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217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54.6694</w:t>
            </w:r>
            <w:r/>
          </w:p>
        </w:tc>
      </w:tr>
    </w:tbl>
    <w:p>
      <w:pPr>
        <w:ind w:firstLine="422"/>
        <w:jc w:val="left"/>
        <w:spacing w:line="460" w:lineRule="exact"/>
        <w:rPr>
          <w:rFonts w:hint="eastAsia" w:ascii="宋体" w:hAnsi="宋体" w:cs="宋体"/>
          <w:sz w:val="24"/>
        </w:rPr>
      </w:pPr>
      <w:r>
        <w:rPr>
          <w:rFonts w:hint="eastAsia" w:ascii="宋体" w:hAnsi="宋体" w:cs="宋体"/>
          <w:b/>
        </w:rPr>
        <w:t xml:space="preserve">注：服务量清单中的绿化面积仅供参考，最终作业服务范围以现场交接为准。</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（二）绿化养护作业标准</w:t>
      </w:r>
      <w:r/>
    </w:p>
    <w:p>
      <w:pPr>
        <w:ind w:firstLine="420"/>
        <w:jc w:val="left"/>
        <w:spacing w:line="460" w:lineRule="exact"/>
        <w:widowControl/>
        <w:rPr>
          <w:rFonts w:hint="eastAsia" w:ascii="宋体" w:hAnsi="宋体"/>
        </w:rPr>
      </w:pPr>
      <w:r>
        <w:rPr>
          <w:rFonts w:hint="eastAsia" w:ascii="宋体" w:hAnsi="宋体"/>
        </w:rPr>
        <w:t xml:space="preserve">1、为确保作业质量，中标人需对作业区域绿地落实专人进行动态养护管理，着装上岗，全天候作业。</w:t>
      </w:r>
      <w:r/>
    </w:p>
    <w:p>
      <w:pPr>
        <w:ind w:firstLine="420"/>
        <w:jc w:val="left"/>
        <w:spacing w:line="460" w:lineRule="exact"/>
        <w:widowControl/>
        <w:rPr>
          <w:rFonts w:hint="eastAsia" w:ascii="宋体" w:hAnsi="宋体"/>
        </w:rPr>
      </w:pPr>
      <w:r>
        <w:rPr>
          <w:rFonts w:hint="eastAsia" w:ascii="宋体" w:hAnsi="宋体"/>
        </w:rPr>
        <w:t xml:space="preserve">2、作业过程中，中标人必须采取周密的安全措施，以避免对人身和财产的损害，由于安全措施不到位造成人身伤害或财产损失的，由中标人自行承担。</w:t>
      </w:r>
      <w:r/>
    </w:p>
    <w:p>
      <w:pPr>
        <w:ind w:firstLine="420"/>
        <w:jc w:val="left"/>
        <w:spacing w:line="460" w:lineRule="exact"/>
        <w:widowControl/>
        <w:rPr>
          <w:rFonts w:hint="eastAsia" w:ascii="宋体" w:hAnsi="宋体"/>
        </w:rPr>
      </w:pPr>
      <w:r>
        <w:rPr>
          <w:rFonts w:hint="eastAsia" w:ascii="宋体" w:hAnsi="宋体"/>
        </w:rPr>
        <w:t xml:space="preserve">3、由于台风、暴雨、大雪等自然灾害引起树木突然倒塌，碰线、碰屋，影响交通安全等，中标人需立即启动相关预案，并在接到采购人通知后应迅速组织力量，半小时内到达现场并及时处理。</w:t>
      </w:r>
      <w:r/>
    </w:p>
    <w:p>
      <w:pPr>
        <w:ind w:firstLine="420"/>
        <w:jc w:val="left"/>
        <w:spacing w:line="460" w:lineRule="exact"/>
        <w:widowControl/>
        <w:rPr>
          <w:rFonts w:hint="eastAsia" w:ascii="宋体" w:hAnsi="宋体"/>
        </w:rPr>
      </w:pPr>
      <w:r>
        <w:rPr>
          <w:rFonts w:hint="eastAsia" w:ascii="宋体" w:hAnsi="宋体"/>
        </w:rPr>
        <w:t xml:space="preserve">4、对于中标人养护作业期间由于养护作业工作不能及时完成，且造成较大影响的，采购人有权安排第三方进场作业，所发生的费用从中标人月度作业费中扣除。</w:t>
      </w:r>
      <w:r/>
    </w:p>
    <w:p>
      <w:pPr>
        <w:ind w:firstLine="420"/>
        <w:jc w:val="left"/>
        <w:spacing w:line="460" w:lineRule="exact"/>
        <w:widowControl/>
        <w:rPr>
          <w:rFonts w:hint="eastAsia" w:ascii="宋体" w:hAnsi="宋体"/>
        </w:rPr>
      </w:pPr>
      <w:r>
        <w:rPr>
          <w:rFonts w:hint="eastAsia" w:ascii="宋体" w:hAnsi="宋体"/>
        </w:rPr>
        <w:t xml:space="preserve">5、发生绿化被偷盗、挖掘、损坏的，及时阻止并上报。</w:t>
      </w:r>
      <w:r/>
    </w:p>
    <w:p>
      <w:pPr>
        <w:ind w:firstLine="420"/>
        <w:jc w:val="left"/>
        <w:spacing w:line="460" w:lineRule="exact"/>
        <w:widowControl/>
        <w:rPr>
          <w:rFonts w:hint="eastAsia" w:ascii="宋体" w:hAnsi="宋体"/>
        </w:rPr>
      </w:pPr>
      <w:r>
        <w:rPr>
          <w:rFonts w:hint="eastAsia" w:ascii="宋体" w:hAnsi="宋体"/>
        </w:rPr>
        <w:t xml:space="preserve">6、中标人负责原有设施及绿化的成品保护工作，对发现人为破坏设施及绿化行为，中标人有义务对破坏行为进行及时报警并采取有效制止措施。</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（三）绿化作业内容的调整及变更</w:t>
      </w:r>
      <w:r/>
    </w:p>
    <w:p>
      <w:pPr>
        <w:ind w:firstLine="420"/>
        <w:jc w:val="left"/>
        <w:spacing w:line="460" w:lineRule="exact"/>
        <w:widowControl/>
        <w:rPr>
          <w:rFonts w:hint="eastAsia" w:ascii="宋体" w:hAnsi="宋体"/>
        </w:rPr>
      </w:pPr>
      <w:r>
        <w:rPr>
          <w:rFonts w:hint="eastAsia" w:ascii="宋体" w:hAnsi="宋体"/>
        </w:rPr>
        <w:t xml:space="preserve">1、合同签订时因实际绿化养护面积与磋商文件中所述面积有差异，以实际养护面积为准，且不再因此调整合同金额。中标人对养护面积有疑义的，以测绘面积为准。</w:t>
      </w:r>
      <w:r/>
    </w:p>
    <w:p>
      <w:pPr>
        <w:ind w:firstLine="420"/>
        <w:jc w:val="left"/>
        <w:spacing w:line="460" w:lineRule="exact"/>
        <w:widowControl/>
        <w:rPr>
          <w:rFonts w:hint="eastAsia" w:ascii="宋体" w:hAnsi="宋体"/>
        </w:rPr>
      </w:pPr>
      <w:r>
        <w:rPr>
          <w:rFonts w:hint="eastAsia" w:ascii="宋体" w:hAnsi="宋体"/>
        </w:rPr>
        <w:t xml:space="preserve">2、在合同履行过程中，若因政策调整（政策性发文），工程改造、交接等，采购人亦有权对作业管养区域面积进行调整，养护作业面积出现变化时，以原合同单价和实际增减面积据实调整养护作业费用。</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（四）绿化养护其他作业要求</w:t>
      </w:r>
      <w:r/>
    </w:p>
    <w:p>
      <w:pPr>
        <w:ind w:firstLine="420"/>
        <w:jc w:val="left"/>
        <w:spacing w:line="460" w:lineRule="exact"/>
        <w:widowControl/>
        <w:rPr>
          <w:rFonts w:hint="eastAsia" w:ascii="宋体" w:hAnsi="宋体"/>
        </w:rPr>
      </w:pPr>
      <w:r>
        <w:rPr>
          <w:rFonts w:hint="eastAsia" w:ascii="宋体" w:hAnsi="宋体"/>
        </w:rPr>
        <w:t xml:space="preserve">1、绿地养护质量标准要求：严格按照《江苏省城市园林绿化养护管理分级标准》、常园发【2012】44号《常州市城市园林绿化养护管理技术规范》（试行）、《常州市城市绿化养护管理质量标准》（试行）、《常州市城市绿地养护技术要求》质量标准、《市政府关于进一步完善常州市城市长效综合管理考核工作的实施意见》和采购人及其上级发布的管理规定、规范、办法、文件等执行。如遇新标准，按最新标准执行。</w:t>
      </w:r>
      <w:r/>
    </w:p>
    <w:p>
      <w:pPr>
        <w:ind w:firstLine="420"/>
        <w:jc w:val="left"/>
        <w:spacing w:line="460" w:lineRule="exact"/>
        <w:widowControl/>
        <w:rPr>
          <w:rFonts w:hint="eastAsia" w:ascii="宋体" w:hAnsi="宋体"/>
        </w:rPr>
      </w:pPr>
      <w:r>
        <w:rPr>
          <w:rFonts w:hint="eastAsia" w:ascii="宋体" w:hAnsi="宋体"/>
        </w:rPr>
        <w:t xml:space="preserve">2、人员要求：养护作业人员男女不限。女性：主要以年龄60周岁以下为主；男性：主要以年龄55周岁以下为主。所有人员身体健康，具有一定的绿化养护经验，工作效率高。 </w:t>
      </w:r>
      <w:r/>
    </w:p>
    <w:p>
      <w:pPr>
        <w:ind w:firstLine="420"/>
        <w:jc w:val="left"/>
        <w:spacing w:line="460" w:lineRule="exact"/>
        <w:widowControl/>
        <w:rPr>
          <w:rFonts w:hint="eastAsia" w:ascii="宋体" w:hAnsi="宋体"/>
        </w:rPr>
      </w:pPr>
      <w:r>
        <w:rPr>
          <w:rFonts w:hint="eastAsia" w:ascii="宋体" w:hAnsi="宋体"/>
        </w:rPr>
        <w:t xml:space="preserve">3、中标人根据绿地养护作业技术规范、绿化养护作业质量标准和有关要求，积极主动保质保量地完成绿化养护作业工作。对管护范围内的所有绿化（包括花草、灌木、乔木等）成活率达100%（不可抗力除外），凡死、伤均由中标人无条件按原标准更换补植,并确保成活（不可抗力除外）。在树木、花木修枝剪叶整形中，对产生的残枝、残叶、杂草等必须随修随清，保证道路、公共绿地的环境整洁。</w:t>
      </w:r>
      <w:r/>
    </w:p>
    <w:p>
      <w:pPr>
        <w:ind w:firstLine="420"/>
        <w:jc w:val="left"/>
        <w:spacing w:line="460" w:lineRule="exact"/>
        <w:widowControl/>
        <w:rPr>
          <w:rFonts w:hint="eastAsia" w:ascii="宋体" w:hAnsi="宋体"/>
        </w:rPr>
      </w:pPr>
      <w:r>
        <w:rPr>
          <w:rFonts w:hint="eastAsia" w:ascii="宋体" w:hAnsi="宋体"/>
        </w:rPr>
        <w:t xml:space="preserve">4、中标人在施工过程中应采取施工安全措施，确保工程及其人员、材料、设备和设施的安全，防止因工程施工造成的人身伤害和财产损失。</w:t>
      </w:r>
      <w:r/>
    </w:p>
    <w:p>
      <w:pPr>
        <w:ind w:firstLine="420"/>
        <w:jc w:val="left"/>
        <w:spacing w:line="460" w:lineRule="exact"/>
        <w:widowControl/>
        <w:rPr>
          <w:rFonts w:hint="eastAsia" w:ascii="宋体" w:hAnsi="宋体"/>
        </w:rPr>
      </w:pPr>
      <w:r>
        <w:rPr>
          <w:rFonts w:hint="eastAsia" w:ascii="宋体" w:hAnsi="宋体"/>
        </w:rPr>
        <w:t xml:space="preserve">5、中标人应对其履行合同所雇佣的全部人员工伤事故承担责任。</w:t>
      </w:r>
      <w:r/>
    </w:p>
    <w:p>
      <w:pPr>
        <w:ind w:firstLine="420"/>
        <w:jc w:val="left"/>
        <w:spacing w:line="460" w:lineRule="exact"/>
        <w:widowControl/>
        <w:rPr>
          <w:rFonts w:hint="eastAsia" w:ascii="宋体" w:hAnsi="宋体"/>
        </w:rPr>
      </w:pPr>
      <w:r>
        <w:rPr>
          <w:rFonts w:hint="eastAsia" w:ascii="宋体" w:hAnsi="宋体"/>
        </w:rPr>
        <w:t xml:space="preserve">6、由于中标人原因在施工场地内及其毗邻地带造成的第三者人员伤亡和财产损失，由中标人负责赔偿。</w:t>
      </w:r>
      <w:r/>
    </w:p>
    <w:p>
      <w:pPr>
        <w:ind w:firstLine="420"/>
        <w:jc w:val="left"/>
        <w:spacing w:line="460" w:lineRule="exact"/>
        <w:widowControl/>
        <w:rPr>
          <w:rFonts w:hint="eastAsia" w:ascii="宋体" w:hAnsi="宋体"/>
        </w:rPr>
      </w:pPr>
      <w:r>
        <w:rPr>
          <w:rFonts w:hint="eastAsia" w:ascii="宋体" w:hAnsi="宋体"/>
        </w:rPr>
        <w:t xml:space="preserve">7、中标人需配备专职巡查人员，就下列项目展开巡查工作，专职巡视资料员日常巡查内容：</w:t>
      </w:r>
      <w:r/>
    </w:p>
    <w:p>
      <w:pPr>
        <w:ind w:firstLine="420"/>
        <w:jc w:val="left"/>
        <w:spacing w:line="460" w:lineRule="exact"/>
        <w:widowControl/>
        <w:rPr>
          <w:rFonts w:hint="eastAsia" w:ascii="宋体" w:hAnsi="宋体"/>
        </w:rPr>
      </w:pPr>
      <w:r>
        <w:rPr>
          <w:rFonts w:hint="eastAsia" w:ascii="宋体" w:hAnsi="宋体"/>
        </w:rPr>
        <w:t xml:space="preserve">1）、作业区域有无私开、私挖现象；</w:t>
      </w:r>
      <w:r/>
    </w:p>
    <w:p>
      <w:pPr>
        <w:ind w:firstLine="420"/>
        <w:jc w:val="left"/>
        <w:spacing w:line="460" w:lineRule="exact"/>
        <w:widowControl/>
        <w:rPr>
          <w:rFonts w:hint="eastAsia" w:ascii="宋体" w:hAnsi="宋体"/>
        </w:rPr>
      </w:pPr>
      <w:r>
        <w:rPr>
          <w:rFonts w:hint="eastAsia" w:ascii="宋体" w:hAnsi="宋体"/>
        </w:rPr>
        <w:t xml:space="preserve">2）、作业区域内各类绿化植物有无私自修剪现象；</w:t>
      </w:r>
      <w:r/>
    </w:p>
    <w:p>
      <w:pPr>
        <w:ind w:firstLine="420"/>
        <w:jc w:val="left"/>
        <w:spacing w:line="460" w:lineRule="exact"/>
        <w:widowControl/>
        <w:rPr>
          <w:rFonts w:hint="eastAsia" w:ascii="宋体" w:hAnsi="宋体"/>
        </w:rPr>
      </w:pPr>
      <w:r>
        <w:rPr>
          <w:rFonts w:hint="eastAsia" w:ascii="宋体" w:hAnsi="宋体"/>
        </w:rPr>
        <w:t xml:space="preserve">3）、作业区域内有无苗木偷盗、绿化带毁绿种菜现象；</w:t>
      </w:r>
      <w:r/>
    </w:p>
    <w:p>
      <w:pPr>
        <w:ind w:firstLine="420"/>
        <w:jc w:val="left"/>
        <w:spacing w:line="460" w:lineRule="exact"/>
        <w:widowControl/>
        <w:rPr>
          <w:rFonts w:hint="eastAsia" w:ascii="宋体" w:hAnsi="宋体"/>
        </w:rPr>
      </w:pPr>
      <w:r>
        <w:rPr>
          <w:rFonts w:hint="eastAsia" w:ascii="宋体" w:hAnsi="宋体"/>
        </w:rPr>
        <w:t xml:space="preserve">4）、作业区域内有无苗木死亡、空秃及病虫害现象；</w:t>
      </w:r>
      <w:r/>
    </w:p>
    <w:p>
      <w:pPr>
        <w:ind w:firstLine="420"/>
        <w:jc w:val="left"/>
        <w:spacing w:line="460" w:lineRule="exact"/>
        <w:widowControl/>
        <w:rPr>
          <w:rFonts w:hint="eastAsia" w:ascii="宋体" w:hAnsi="宋体"/>
        </w:rPr>
      </w:pPr>
      <w:r>
        <w:rPr>
          <w:rFonts w:hint="eastAsia" w:ascii="宋体" w:hAnsi="宋体"/>
        </w:rPr>
        <w:t xml:space="preserve">5）、其他各类采购人另行规定的巡查内容。</w:t>
      </w:r>
      <w:r/>
    </w:p>
    <w:p>
      <w:pPr>
        <w:ind w:firstLine="420"/>
        <w:jc w:val="left"/>
        <w:spacing w:line="460" w:lineRule="exact"/>
        <w:widowControl/>
        <w:rPr>
          <w:rFonts w:hint="eastAsia" w:ascii="宋体" w:hAnsi="宋体"/>
        </w:rPr>
      </w:pPr>
      <w:r>
        <w:rPr>
          <w:rFonts w:hint="eastAsia" w:ascii="宋体" w:hAnsi="宋体"/>
        </w:rPr>
        <w:t xml:space="preserve">★养护作业应注意自身和第三方的施工操作人员和行人的安全，注意不损害周边市政设施和建筑物，不影响市容环境。做好各项围护、防护措施，配合采购人的管理。养护工作中确保零安全事故，如有由养护单位自行承担。</w:t>
      </w:r>
      <w:r>
        <w:rPr>
          <w:rFonts w:hint="eastAsia" w:ascii="宋体" w:hAnsi="宋体"/>
          <w:b/>
          <w:bCs/>
        </w:rPr>
        <w:t xml:space="preserve">（本条为实质性要求，投标人提供承诺函加盖公章，格式自拟，否则视为无效响应。）</w:t>
      </w:r>
      <w:r/>
    </w:p>
    <w:p>
      <w:pPr>
        <w:jc w:val="left"/>
        <w:spacing w:line="440" w:lineRule="exact"/>
        <w:widowControl/>
        <w:rPr>
          <w:rFonts w:hint="eastAsia" w:ascii="宋体" w:hAnsi="宋体"/>
          <w:b/>
          <w:bCs/>
        </w:rPr>
      </w:pPr>
      <w:r>
        <w:rPr>
          <w:rFonts w:hint="eastAsia" w:ascii="宋体" w:hAnsi="宋体"/>
          <w:b/>
          <w:bCs/>
        </w:rPr>
      </w:r>
      <w:r/>
    </w:p>
    <w:p>
      <w:pPr>
        <w:pStyle w:val="1020"/>
        <w:jc w:val="both"/>
        <w:keepLines/>
        <w:keepNext/>
        <w:spacing w:line="240" w:lineRule="auto"/>
        <w:rPr>
          <w:sz w:val="28"/>
          <w:szCs w:val="28"/>
        </w:rPr>
      </w:pPr>
      <w:r>
        <w:rPr>
          <w:rFonts w:hint="eastAsia"/>
          <w:sz w:val="28"/>
          <w:szCs w:val="28"/>
        </w:rPr>
        <w:t xml:space="preserve">四、机械化车辆</w:t>
      </w:r>
      <w:r>
        <w:rPr>
          <w:rFonts w:hint="eastAsia"/>
          <w:sz w:val="28"/>
          <w:szCs w:val="28"/>
        </w:rPr>
        <w:t xml:space="preserve">/</w:t>
      </w:r>
      <w:r>
        <w:rPr>
          <w:rFonts w:hint="eastAsia"/>
          <w:sz w:val="28"/>
          <w:szCs w:val="28"/>
        </w:rPr>
        <w:t xml:space="preserve">装备及劳动力配备要求</w:t>
      </w:r>
      <w:r/>
    </w:p>
    <w:p>
      <w:pPr>
        <w:jc w:val="left"/>
        <w:spacing w:before="240" w:after="120"/>
        <w:widowControl/>
        <w:rPr>
          <w:rFonts w:hint="eastAsia" w:ascii="宋体" w:hAnsi="宋体" w:cs="宋体"/>
          <w:b/>
          <w:bCs/>
        </w:rPr>
      </w:pPr>
      <w:r>
        <w:rPr>
          <w:rFonts w:hint="eastAsia" w:ascii="宋体" w:hAnsi="宋体" w:cs="宋体"/>
          <w:b/>
          <w:bCs/>
        </w:rPr>
        <w:t xml:space="preserve">1、环卫作业服务项目最低装备配置及定额</w:t>
      </w:r>
      <w:r/>
    </w:p>
    <w:tbl>
      <w:tblPr>
        <w:tblW w:w="48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2"/>
        <w:gridCol w:w="884"/>
        <w:gridCol w:w="1857"/>
        <w:gridCol w:w="1016"/>
        <w:gridCol w:w="973"/>
        <w:gridCol w:w="1079"/>
        <w:gridCol w:w="1733"/>
      </w:tblGrid>
      <w:tr>
        <w:trPr>
          <w:jc w:val="center"/>
          <w:trHeight w:val="732"/>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center"/>
              <w:spacing w:line="360" w:lineRule="exact"/>
              <w:widowControl/>
              <w:rPr>
                <w:rFonts w:hint="eastAsia" w:ascii="宋体" w:hAnsi="宋体" w:cs="宋体"/>
              </w:rPr>
            </w:pPr>
            <w:r>
              <w:rPr>
                <w:rFonts w:hint="eastAsia" w:ascii="宋体" w:hAnsi="宋体"/>
                <w:b/>
                <w:bCs/>
              </w:rPr>
              <w:t xml:space="preserve">序号</w:t>
            </w:r>
            <w:r/>
          </w:p>
        </w:tc>
        <w:tc>
          <w:tcPr>
            <w:tcBorders>
              <w:top w:val="single" w:color="auto" w:sz="4" w:space="0"/>
              <w:left w:val="none" w:color="000000" w:sz="4" w:space="0"/>
              <w:bottom w:val="single" w:color="auto" w:sz="4" w:space="0"/>
              <w:right w:val="single" w:color="auto" w:sz="4" w:space="0"/>
            </w:tcBorders>
            <w:tcW w:w="548" w:type="pct"/>
            <w:vAlign w:val="center"/>
            <w:textDirection w:val="lrTb"/>
            <w:noWrap w:val="false"/>
          </w:tcPr>
          <w:p>
            <w:pPr>
              <w:jc w:val="center"/>
              <w:spacing w:line="360" w:lineRule="exact"/>
              <w:widowControl/>
              <w:rPr>
                <w:rFonts w:hint="eastAsia" w:ascii="宋体" w:hAnsi="宋体" w:cs="宋体"/>
              </w:rPr>
            </w:pPr>
            <w:r>
              <w:rPr>
                <w:rFonts w:hint="eastAsia" w:ascii="宋体" w:hAnsi="宋体"/>
                <w:b/>
                <w:bCs/>
              </w:rPr>
              <w:t xml:space="preserve">车辆/ 装备</w:t>
            </w:r>
            <w:r/>
          </w:p>
        </w:tc>
        <w:tc>
          <w:tcPr>
            <w:tcBorders>
              <w:top w:val="single" w:color="auto" w:sz="4" w:space="0"/>
              <w:left w:val="none" w:color="000000" w:sz="4" w:space="0"/>
              <w:bottom w:val="single" w:color="auto" w:sz="4" w:space="0"/>
              <w:right w:val="single" w:color="auto" w:sz="4" w:space="0"/>
            </w:tcBorders>
            <w:tcW w:w="1152" w:type="pct"/>
            <w:vAlign w:val="center"/>
            <w:textDirection w:val="lrTb"/>
            <w:noWrap w:val="false"/>
          </w:tcPr>
          <w:p>
            <w:pPr>
              <w:jc w:val="center"/>
              <w:spacing w:line="360" w:lineRule="exact"/>
              <w:widowControl/>
              <w:rPr>
                <w:rFonts w:hint="eastAsia" w:ascii="宋体" w:hAnsi="宋体" w:cs="宋体"/>
              </w:rPr>
            </w:pPr>
            <w:r>
              <w:rPr>
                <w:rFonts w:hint="eastAsia" w:ascii="宋体" w:hAnsi="宋体"/>
                <w:b/>
                <w:bCs/>
              </w:rPr>
              <w:t xml:space="preserve">最低配置</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val="false"/>
          </w:tcPr>
          <w:p>
            <w:pPr>
              <w:jc w:val="center"/>
              <w:spacing w:line="360" w:lineRule="exact"/>
              <w:widowControl/>
              <w:rPr>
                <w:rFonts w:hint="eastAsia" w:ascii="宋体" w:hAnsi="宋体" w:cs="宋体"/>
              </w:rPr>
            </w:pPr>
            <w:r>
              <w:rPr>
                <w:rFonts w:hint="eastAsia" w:ascii="宋体" w:hAnsi="宋体"/>
                <w:b/>
                <w:bCs/>
              </w:rPr>
              <w:t xml:space="preserve">最低作业定额（公里/日）</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widowControl/>
              <w:rPr>
                <w:rFonts w:hint="eastAsia" w:ascii="宋体" w:hAnsi="宋体" w:cs="宋体"/>
              </w:rPr>
            </w:pPr>
            <w:r>
              <w:rPr>
                <w:rFonts w:hint="eastAsia" w:ascii="宋体" w:hAnsi="宋体"/>
                <w:b/>
                <w:bCs/>
              </w:rPr>
              <w:t xml:space="preserve">单车最低人员配置（人）</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center"/>
              <w:spacing w:line="340" w:lineRule="exact"/>
              <w:widowControl/>
              <w:rPr>
                <w:rFonts w:hint="eastAsia" w:ascii="宋体" w:hAnsi="宋体" w:cs="宋体"/>
              </w:rPr>
            </w:pPr>
            <w:r>
              <w:rPr>
                <w:rFonts w:hint="eastAsia" w:ascii="宋体" w:hAnsi="宋体"/>
                <w:b/>
              </w:rPr>
              <w:t xml:space="preserve">车龄（采购日期要求）</w:t>
            </w:r>
            <w:r/>
          </w:p>
        </w:tc>
        <w:tc>
          <w:tcPr>
            <w:tcBorders>
              <w:top w:val="single" w:color="auto" w:sz="4" w:space="0"/>
              <w:left w:val="none" w:color="000000" w:sz="4" w:space="0"/>
              <w:bottom w:val="single" w:color="auto" w:sz="4" w:space="0"/>
              <w:right w:val="single" w:color="auto" w:sz="4" w:space="0"/>
            </w:tcBorders>
            <w:tcW w:w="1076" w:type="pct"/>
            <w:vAlign w:val="center"/>
            <w:textDirection w:val="lrTb"/>
            <w:noWrap w:val="false"/>
          </w:tcPr>
          <w:p>
            <w:pPr>
              <w:jc w:val="center"/>
              <w:spacing w:line="340" w:lineRule="exact"/>
              <w:widowControl/>
              <w:rPr>
                <w:rFonts w:hint="eastAsia" w:ascii="宋体" w:hAnsi="宋体" w:cs="宋体"/>
              </w:rPr>
            </w:pPr>
            <w:r>
              <w:rPr>
                <w:rFonts w:hint="eastAsia" w:ascii="宋体" w:hAnsi="宋体"/>
                <w:b/>
              </w:rPr>
              <w:t xml:space="preserve">其他要求</w:t>
            </w:r>
            <w:r/>
          </w:p>
        </w:tc>
      </w:tr>
      <w:tr>
        <w:trPr>
          <w:jc w:val="center"/>
          <w:trHeight w:val="1351"/>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left"/>
              <w:spacing w:line="360" w:lineRule="exact"/>
              <w:widowControl/>
              <w:rPr>
                <w:rFonts w:hint="eastAsia" w:ascii="宋体" w:hAnsi="宋体" w:cs="宋体"/>
              </w:rPr>
            </w:pPr>
            <w:r>
              <w:rPr>
                <w:rFonts w:hint="eastAsia" w:ascii="宋体" w:hAnsi="宋体"/>
                <w:bCs/>
              </w:rPr>
              <w:t xml:space="preserve">1</w:t>
            </w:r>
            <w:r/>
          </w:p>
        </w:tc>
        <w:tc>
          <w:tcPr>
            <w:tcBorders>
              <w:top w:val="single" w:color="auto" w:sz="4" w:space="0"/>
              <w:left w:val="none" w:color="000000" w:sz="4" w:space="0"/>
              <w:bottom w:val="single" w:color="auto" w:sz="4" w:space="0"/>
              <w:right w:val="single" w:color="auto" w:sz="4" w:space="0"/>
            </w:tcBorders>
            <w:tcW w:w="548" w:type="pct"/>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18吨洒水车</w:t>
            </w:r>
            <w:r/>
          </w:p>
        </w:tc>
        <w:tc>
          <w:tcPr>
            <w:tcBorders>
              <w:top w:val="single" w:color="auto" w:sz="4" w:space="0"/>
              <w:left w:val="none" w:color="000000" w:sz="4" w:space="0"/>
              <w:bottom w:val="single" w:color="auto" w:sz="4" w:space="0"/>
              <w:right w:val="single" w:color="auto" w:sz="4" w:space="0"/>
            </w:tcBorders>
            <w:tcW w:w="1152" w:type="pct"/>
            <w:vAlign w:val="center"/>
            <w:textDirection w:val="lrTb"/>
            <w:noWrap w:val="false"/>
          </w:tcPr>
          <w:p>
            <w:pPr>
              <w:jc w:val="left"/>
              <w:spacing w:line="360" w:lineRule="exact"/>
              <w:widowControl/>
              <w:rPr>
                <w:rFonts w:hint="eastAsia" w:ascii="宋体" w:hAnsi="宋体" w:cs="宋体" w:eastAsiaTheme="minorEastAsia"/>
              </w:rPr>
            </w:pPr>
            <w:r>
              <w:rPr>
                <w:rFonts w:hint="eastAsia" w:ascii="宋体" w:hAnsi="宋体" w:cs="宋体"/>
              </w:rPr>
              <w:t xml:space="preserve">18吨洒水车不低于1台</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val="false"/>
          </w:tcPr>
          <w:p>
            <w:pPr>
              <w:jc w:val="center"/>
              <w:spacing w:line="360" w:lineRule="exact"/>
              <w:widowControl/>
              <w:rPr>
                <w:rFonts w:hint="eastAsia" w:ascii="宋体" w:hAnsi="宋体" w:cs="宋体" w:eastAsiaTheme="minorEastAsia"/>
              </w:rPr>
            </w:pPr>
            <w:r>
              <w:rPr>
                <w:rFonts w:hint="eastAsia" w:ascii="宋体" w:hAnsi="宋体" w:cs="宋体"/>
              </w:rPr>
              <w:t xml:space="preserve">40</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widowControl/>
              <w:rPr>
                <w:rFonts w:hint="eastAsia" w:ascii="宋体" w:hAnsi="宋体" w:cs="宋体" w:eastAsiaTheme="minorEastAsia"/>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left"/>
              <w:spacing w:line="340" w:lineRule="exact"/>
              <w:widowControl/>
              <w:rPr>
                <w:rFonts w:hint="eastAsia" w:ascii="宋体" w:hAnsi="宋体" w:cs="宋体" w:eastAsiaTheme="minorEastAsia"/>
              </w:rPr>
            </w:pPr>
            <w:r>
              <w:rPr>
                <w:rFonts w:hint="eastAsia" w:ascii="宋体" w:hAnsi="宋体" w:cs="宋体"/>
              </w:rPr>
              <w:t xml:space="preserve">2021.1.1之后</w:t>
            </w:r>
            <w:r/>
          </w:p>
        </w:tc>
        <w:tc>
          <w:tcPr>
            <w:tcBorders>
              <w:top w:val="single" w:color="auto" w:sz="4" w:space="0"/>
              <w:left w:val="none" w:color="000000" w:sz="4" w:space="0"/>
              <w:bottom w:val="single" w:color="auto" w:sz="4" w:space="0"/>
              <w:right w:val="single" w:color="auto" w:sz="4" w:space="0"/>
            </w:tcBorders>
            <w:tcW w:w="1076" w:type="pct"/>
            <w:vAlign w:val="center"/>
            <w:textDirection w:val="lrTb"/>
            <w:noWrap w:val="false"/>
          </w:tcPr>
          <w:p>
            <w:pPr>
              <w:jc w:val="left"/>
              <w:spacing w:line="340" w:lineRule="exact"/>
              <w:widowControl/>
              <w:rPr>
                <w:rFonts w:hint="eastAsia" w:ascii="宋体" w:hAnsi="宋体" w:cs="宋体" w:eastAsiaTheme="minorEastAsia"/>
              </w:rPr>
            </w:pPr>
            <w:r>
              <w:rPr>
                <w:rFonts w:hint="eastAsia" w:ascii="宋体" w:hAnsi="宋体" w:cs="宋体"/>
              </w:rPr>
              <w:t xml:space="preserve">不少于2人，男性，取得对应车型驾照，52周岁以下</w:t>
            </w:r>
            <w:r/>
          </w:p>
        </w:tc>
      </w:tr>
      <w:tr>
        <w:trPr>
          <w:jc w:val="center"/>
          <w:trHeight w:val="1351"/>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left"/>
              <w:spacing w:line="360" w:lineRule="exact"/>
              <w:widowControl/>
              <w:rPr>
                <w:rFonts w:hint="eastAsia" w:ascii="宋体" w:hAnsi="宋体" w:eastAsiaTheme="minorEastAsia"/>
                <w:bCs/>
              </w:rPr>
            </w:pPr>
            <w:r>
              <w:rPr>
                <w:rFonts w:hint="eastAsia" w:ascii="宋体" w:hAnsi="宋体"/>
                <w:bCs/>
              </w:rPr>
              <w:t xml:space="preserve">2</w:t>
            </w:r>
            <w:r/>
          </w:p>
        </w:tc>
        <w:tc>
          <w:tcPr>
            <w:tcBorders>
              <w:top w:val="single" w:color="auto" w:sz="4" w:space="0"/>
              <w:left w:val="none" w:color="000000" w:sz="4" w:space="0"/>
              <w:bottom w:val="single" w:color="auto" w:sz="4" w:space="0"/>
              <w:right w:val="single" w:color="auto" w:sz="4" w:space="0"/>
            </w:tcBorders>
            <w:tcW w:w="548" w:type="pct"/>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洗扫车</w:t>
            </w:r>
            <w:r/>
          </w:p>
        </w:tc>
        <w:tc>
          <w:tcPr>
            <w:tcBorders>
              <w:top w:val="single" w:color="auto" w:sz="4" w:space="0"/>
              <w:left w:val="none" w:color="000000" w:sz="4" w:space="0"/>
              <w:bottom w:val="single" w:color="auto" w:sz="4" w:space="0"/>
              <w:right w:val="single" w:color="auto" w:sz="4" w:space="0"/>
            </w:tcBorders>
            <w:tcW w:w="1152" w:type="pct"/>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10 吨洗扫车不低于1台，18 吨洗扫车（带雾炮功能）不低于1台</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val="false"/>
          </w:tcPr>
          <w:p>
            <w:pPr>
              <w:jc w:val="center"/>
              <w:spacing w:line="360" w:lineRule="exact"/>
              <w:widowControl/>
              <w:rPr>
                <w:rFonts w:hint="eastAsia" w:ascii="宋体" w:hAnsi="宋体" w:cs="宋体" w:eastAsiaTheme="minorEastAsia"/>
              </w:rPr>
            </w:pPr>
            <w:r>
              <w:rPr>
                <w:rFonts w:hint="eastAsia" w:ascii="宋体" w:hAnsi="宋体" w:cs="宋体"/>
              </w:rPr>
              <w:t xml:space="preserve">40</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widowControl/>
              <w:rPr>
                <w:rFonts w:hint="eastAsia" w:ascii="宋体" w:hAnsi="宋体" w:cs="宋体" w:eastAsiaTheme="minorEastAsia"/>
              </w:rPr>
            </w:pPr>
            <w:r>
              <w:rPr>
                <w:rFonts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left"/>
              <w:spacing w:line="340" w:lineRule="exact"/>
              <w:widowControl/>
              <w:rPr>
                <w:rFonts w:hint="eastAsia" w:ascii="宋体" w:hAnsi="宋体" w:cs="宋体" w:eastAsiaTheme="minorEastAsia"/>
              </w:rPr>
            </w:pPr>
            <w:r>
              <w:rPr>
                <w:rFonts w:hint="eastAsia" w:ascii="宋体" w:hAnsi="宋体" w:cs="宋体"/>
              </w:rPr>
              <w:t xml:space="preserve">2021.1.1之后</w:t>
            </w:r>
            <w:r/>
          </w:p>
        </w:tc>
        <w:tc>
          <w:tcPr>
            <w:tcBorders>
              <w:top w:val="single" w:color="auto" w:sz="4" w:space="0"/>
              <w:left w:val="none" w:color="000000" w:sz="4" w:space="0"/>
              <w:bottom w:val="single" w:color="auto" w:sz="4" w:space="0"/>
              <w:right w:val="single" w:color="auto" w:sz="4" w:space="0"/>
            </w:tcBorders>
            <w:tcW w:w="1076" w:type="pct"/>
            <w:vAlign w:val="center"/>
            <w:textDirection w:val="lrTb"/>
            <w:noWrap w:val="false"/>
          </w:tcPr>
          <w:p>
            <w:pPr>
              <w:jc w:val="left"/>
              <w:spacing w:line="340" w:lineRule="exact"/>
              <w:widowControl/>
              <w:rPr>
                <w:rFonts w:hint="eastAsia" w:ascii="宋体" w:hAnsi="宋体" w:cs="宋体"/>
              </w:rPr>
            </w:pPr>
            <w:r>
              <w:rPr>
                <w:rFonts w:hint="eastAsia" w:ascii="宋体" w:hAnsi="宋体" w:cs="宋体"/>
              </w:rPr>
              <w:t xml:space="preserve">不少于2人，男性，取得对应车型驾照，52周岁以下</w:t>
            </w:r>
            <w:r/>
          </w:p>
        </w:tc>
      </w:tr>
      <w:tr>
        <w:trPr>
          <w:jc w:val="center"/>
          <w:trHeight w:val="95"/>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left"/>
              <w:spacing w:line="360" w:lineRule="exact"/>
              <w:widowControl/>
              <w:rPr>
                <w:rFonts w:hint="eastAsia" w:ascii="宋体" w:hAnsi="宋体" w:cs="宋体" w:eastAsiaTheme="minorEastAsia"/>
              </w:rPr>
            </w:pPr>
            <w:r>
              <w:rPr>
                <w:rFonts w:hint="eastAsia" w:ascii="宋体" w:hAnsi="宋体"/>
                <w:bCs/>
              </w:rPr>
              <w:t xml:space="preserve">3</w:t>
            </w:r>
            <w:r/>
          </w:p>
        </w:tc>
        <w:tc>
          <w:tcPr>
            <w:tcBorders>
              <w:top w:val="single" w:color="auto" w:sz="4" w:space="0"/>
              <w:left w:val="none" w:color="000000" w:sz="4" w:space="0"/>
              <w:bottom w:val="single" w:color="auto" w:sz="4" w:space="0"/>
              <w:right w:val="single" w:color="auto" w:sz="4" w:space="0"/>
            </w:tcBorders>
            <w:tcW w:w="548" w:type="pct"/>
            <w:vAlign w:val="center"/>
            <w:textDirection w:val="lrTb"/>
            <w:noWrap w:val="false"/>
          </w:tcPr>
          <w:p>
            <w:pPr>
              <w:jc w:val="left"/>
              <w:spacing w:line="360" w:lineRule="exact"/>
              <w:widowControl/>
              <w:rPr>
                <w:rFonts w:hint="eastAsia" w:ascii="宋体" w:hAnsi="宋体" w:cs="宋体" w:eastAsiaTheme="minorEastAsia"/>
              </w:rPr>
            </w:pPr>
            <w:r>
              <w:rPr>
                <w:rFonts w:hint="eastAsia" w:ascii="宋体" w:hAnsi="宋体" w:cs="宋体"/>
              </w:rPr>
              <w:t xml:space="preserve">雾炮车</w:t>
            </w:r>
            <w:r/>
          </w:p>
        </w:tc>
        <w:tc>
          <w:tcPr>
            <w:tcBorders>
              <w:top w:val="single" w:color="auto" w:sz="4" w:space="0"/>
              <w:left w:val="none" w:color="000000" w:sz="4" w:space="0"/>
              <w:bottom w:val="single" w:color="auto" w:sz="4" w:space="0"/>
              <w:right w:val="single" w:color="auto" w:sz="4" w:space="0"/>
            </w:tcBorders>
            <w:tcW w:w="1152" w:type="pct"/>
            <w:vAlign w:val="center"/>
            <w:textDirection w:val="lrTb"/>
            <w:noWrap w:val="false"/>
          </w:tcPr>
          <w:p>
            <w:pPr>
              <w:jc w:val="left"/>
              <w:spacing w:line="360" w:lineRule="exact"/>
              <w:widowControl/>
              <w:rPr>
                <w:rFonts w:hint="eastAsia" w:ascii="宋体" w:hAnsi="宋体" w:cs="宋体" w:eastAsiaTheme="minorEastAsia"/>
              </w:rPr>
            </w:pPr>
            <w:r>
              <w:rPr>
                <w:rFonts w:hint="eastAsia" w:ascii="宋体" w:hAnsi="宋体" w:cs="宋体"/>
              </w:rPr>
              <w:t xml:space="preserve">18吨雾炮车不低于1台</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val="false"/>
          </w:tcPr>
          <w:p>
            <w:pPr>
              <w:jc w:val="center"/>
              <w:spacing w:line="360" w:lineRule="exact"/>
              <w:widowControl/>
              <w:rPr>
                <w:rFonts w:hint="eastAsia" w:ascii="宋体" w:hAnsi="宋体" w:cs="宋体" w:eastAsiaTheme="minorEastAsia"/>
              </w:rPr>
            </w:pPr>
            <w:r>
              <w:rPr>
                <w:rFonts w:hint="eastAsia" w:ascii="宋体" w:hAnsi="宋体" w:cs="宋体"/>
              </w:rPr>
              <w:t xml:space="preserve">40</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widowControl/>
              <w:rPr>
                <w:rFonts w:hint="eastAsia" w:ascii="宋体" w:hAnsi="宋体" w:cs="宋体" w:eastAsiaTheme="minorEastAsia"/>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left"/>
              <w:spacing w:line="340" w:lineRule="exact"/>
              <w:widowControl/>
              <w:rPr>
                <w:rFonts w:hint="eastAsia" w:ascii="宋体" w:hAnsi="宋体" w:cs="宋体" w:eastAsiaTheme="minorEastAsia"/>
              </w:rPr>
            </w:pPr>
            <w:r>
              <w:rPr>
                <w:rFonts w:hint="eastAsia" w:ascii="宋体" w:hAnsi="宋体" w:cs="宋体"/>
              </w:rPr>
              <w:t xml:space="preserve">2021.1.1之后</w:t>
            </w:r>
            <w:r/>
          </w:p>
        </w:tc>
        <w:tc>
          <w:tcPr>
            <w:tcBorders>
              <w:top w:val="single" w:color="auto" w:sz="4" w:space="0"/>
              <w:left w:val="none" w:color="000000" w:sz="4" w:space="0"/>
              <w:bottom w:val="single" w:color="auto" w:sz="4" w:space="0"/>
              <w:right w:val="single" w:color="auto" w:sz="4" w:space="0"/>
            </w:tcBorders>
            <w:tcW w:w="1076" w:type="pct"/>
            <w:vAlign w:val="center"/>
            <w:textDirection w:val="lrTb"/>
            <w:noWrap w:val="false"/>
          </w:tcPr>
          <w:p>
            <w:pPr>
              <w:jc w:val="left"/>
              <w:spacing w:line="340" w:lineRule="exact"/>
              <w:widowControl/>
              <w:rPr>
                <w:rFonts w:hint="eastAsia" w:ascii="宋体" w:hAnsi="宋体" w:cs="宋体"/>
              </w:rPr>
            </w:pPr>
            <w:r>
              <w:rPr>
                <w:rFonts w:hint="eastAsia" w:ascii="宋体" w:hAnsi="宋体" w:cs="宋体"/>
              </w:rPr>
              <w:t xml:space="preserve">不少于1人，男性，取得对应车型驾照，52周岁以下</w:t>
            </w:r>
            <w:r/>
          </w:p>
        </w:tc>
      </w:tr>
      <w:tr>
        <w:trPr>
          <w:jc w:val="center"/>
          <w:trHeight w:val="592"/>
        </w:trPr>
        <w:tc>
          <w:tcPr>
            <w:tcBorders>
              <w:top w:val="single" w:color="auto" w:sz="4" w:space="0"/>
              <w:left w:val="single" w:color="auto" w:sz="4" w:space="0"/>
              <w:bottom w:val="single" w:color="auto" w:sz="4" w:space="0"/>
              <w:right w:val="single" w:color="auto" w:sz="4" w:space="0"/>
            </w:tcBorders>
            <w:tcW w:w="317" w:type="pct"/>
            <w:vAlign w:val="center"/>
            <w:textDirection w:val="lrTb"/>
            <w:noWrap w:val="false"/>
          </w:tcPr>
          <w:p>
            <w:pPr>
              <w:jc w:val="left"/>
              <w:spacing w:line="360" w:lineRule="exact"/>
              <w:widowControl/>
              <w:rPr>
                <w:rFonts w:hint="eastAsia" w:ascii="宋体" w:hAnsi="宋体"/>
                <w:bCs/>
              </w:rPr>
            </w:pPr>
            <w:r>
              <w:rPr>
                <w:rFonts w:hint="eastAsia" w:ascii="宋体" w:hAnsi="宋体"/>
                <w:bCs/>
              </w:rPr>
              <w:t xml:space="preserve">4</w:t>
            </w:r>
            <w:r/>
          </w:p>
        </w:tc>
        <w:tc>
          <w:tcPr>
            <w:tcBorders>
              <w:top w:val="single" w:color="auto" w:sz="4" w:space="0"/>
              <w:left w:val="none" w:color="000000" w:sz="4" w:space="0"/>
              <w:bottom w:val="single" w:color="auto" w:sz="4" w:space="0"/>
              <w:right w:val="single" w:color="auto" w:sz="4" w:space="0"/>
            </w:tcBorders>
            <w:tcW w:w="548" w:type="pct"/>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运输车</w:t>
            </w:r>
            <w:r/>
          </w:p>
        </w:tc>
        <w:tc>
          <w:tcPr>
            <w:tcBorders>
              <w:top w:val="single" w:color="auto" w:sz="4" w:space="0"/>
              <w:left w:val="none" w:color="000000" w:sz="4" w:space="0"/>
              <w:bottom w:val="single" w:color="auto" w:sz="4" w:space="0"/>
              <w:right w:val="single" w:color="auto" w:sz="4" w:space="0"/>
            </w:tcBorders>
            <w:tcW w:w="1152" w:type="pct"/>
            <w:vAlign w:val="center"/>
            <w:textDirection w:val="lrTb"/>
            <w:noWrap w:val="false"/>
          </w:tcPr>
          <w:p>
            <w:pPr>
              <w:jc w:val="left"/>
              <w:spacing w:line="360" w:lineRule="exact"/>
              <w:widowControl/>
              <w:rPr>
                <w:rFonts w:hint="eastAsia" w:ascii="宋体" w:hAnsi="宋体" w:cs="宋体"/>
              </w:rPr>
            </w:pPr>
            <w:r>
              <w:rPr>
                <w:rFonts w:hint="eastAsia" w:ascii="宋体" w:hAnsi="宋体" w:cs="宋体"/>
              </w:rPr>
              <w:t xml:space="preserve">荷载不少于8吨</w:t>
            </w:r>
            <w:r/>
          </w:p>
        </w:tc>
        <w:tc>
          <w:tcPr>
            <w:tcBorders>
              <w:top w:val="single" w:color="auto" w:sz="4" w:space="0"/>
              <w:left w:val="none" w:color="000000" w:sz="4" w:space="0"/>
              <w:bottom w:val="single" w:color="auto" w:sz="4" w:space="0"/>
              <w:right w:val="single" w:color="auto" w:sz="4" w:space="0"/>
            </w:tcBorders>
            <w:tcW w:w="631" w:type="pct"/>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w:t>
            </w:r>
            <w:r/>
          </w:p>
        </w:tc>
        <w:tc>
          <w:tcPr>
            <w:tcBorders>
              <w:top w:val="single" w:color="auto" w:sz="4" w:space="0"/>
              <w:left w:val="none" w:color="000000" w:sz="4" w:space="0"/>
              <w:bottom w:val="single" w:color="auto" w:sz="4" w:space="0"/>
              <w:right w:val="single" w:color="auto" w:sz="4" w:space="0"/>
            </w:tcBorders>
            <w:tcW w:w="604" w:type="pct"/>
            <w:vAlign w:val="center"/>
            <w:textDirection w:val="lrTb"/>
            <w:noWrap w:val="false"/>
          </w:tcPr>
          <w:p>
            <w:pPr>
              <w:jc w:val="center"/>
              <w:spacing w:line="360" w:lineRule="exact"/>
              <w:widowControl/>
              <w:rPr>
                <w:rFonts w:hint="eastAsia" w:ascii="宋体" w:hAnsi="宋体" w:cs="宋体"/>
              </w:rPr>
            </w:pPr>
            <w:r>
              <w:rPr>
                <w:rFonts w:hint="eastAsia" w:ascii="宋体" w:hAnsi="宋体" w:cs="宋体"/>
              </w:rPr>
              <w:t xml:space="preserve">1</w:t>
            </w:r>
            <w:r/>
          </w:p>
        </w:tc>
        <w:tc>
          <w:tcPr>
            <w:tcBorders>
              <w:top w:val="single" w:color="auto" w:sz="4" w:space="0"/>
              <w:left w:val="none" w:color="000000" w:sz="4" w:space="0"/>
              <w:bottom w:val="single" w:color="auto" w:sz="4" w:space="0"/>
              <w:right w:val="single" w:color="auto" w:sz="4" w:space="0"/>
            </w:tcBorders>
            <w:tcW w:w="670" w:type="pct"/>
            <w:vAlign w:val="center"/>
            <w:textDirection w:val="lrTb"/>
            <w:noWrap w:val="false"/>
          </w:tcPr>
          <w:p>
            <w:pPr>
              <w:jc w:val="left"/>
              <w:spacing w:line="340" w:lineRule="exact"/>
              <w:widowControl/>
              <w:rPr>
                <w:rFonts w:hint="eastAsia" w:ascii="宋体" w:hAnsi="宋体" w:cs="宋体"/>
              </w:rPr>
            </w:pPr>
            <w:r>
              <w:rPr>
                <w:rFonts w:hint="eastAsia" w:ascii="宋体" w:hAnsi="宋体" w:cs="宋体"/>
              </w:rPr>
              <w:t xml:space="preserve">2021.1.1之后</w:t>
            </w:r>
            <w:r/>
          </w:p>
        </w:tc>
        <w:tc>
          <w:tcPr>
            <w:tcBorders>
              <w:top w:val="single" w:color="auto" w:sz="4" w:space="0"/>
              <w:left w:val="none" w:color="000000" w:sz="4" w:space="0"/>
              <w:bottom w:val="single" w:color="auto" w:sz="4" w:space="0"/>
              <w:right w:val="single" w:color="auto" w:sz="4" w:space="0"/>
            </w:tcBorders>
            <w:tcW w:w="1076" w:type="pct"/>
            <w:vAlign w:val="center"/>
            <w:textDirection w:val="lrTb"/>
            <w:noWrap w:val="false"/>
          </w:tcPr>
          <w:p>
            <w:pPr>
              <w:jc w:val="left"/>
              <w:spacing w:line="340" w:lineRule="exact"/>
              <w:widowControl/>
              <w:rPr>
                <w:rFonts w:hint="eastAsia" w:ascii="宋体" w:hAnsi="宋体" w:cs="宋体"/>
              </w:rPr>
            </w:pPr>
            <w:r>
              <w:rPr>
                <w:rFonts w:hint="eastAsia" w:ascii="宋体" w:hAnsi="宋体" w:cs="宋体"/>
              </w:rPr>
              <w:t xml:space="preserve">不少于1人，男性，取得对应车型驾照，52 周岁以下</w:t>
            </w:r>
            <w:r/>
          </w:p>
        </w:tc>
      </w:tr>
    </w:tbl>
    <w:p>
      <w:pPr>
        <w:jc w:val="left"/>
        <w:widowControl/>
        <w:rPr>
          <w:rFonts w:hint="eastAsia" w:ascii="宋体" w:hAnsi="宋体"/>
          <w:b/>
        </w:rPr>
      </w:pPr>
      <w:r>
        <w:rPr>
          <w:rFonts w:hint="eastAsia" w:ascii="宋体" w:hAnsi="宋体"/>
          <w:b/>
        </w:rPr>
        <w:t xml:space="preserve"> 注：上表根据《江苏省城市环境卫生作业劳动定额》，并按照本项目实际情况设置。除表格所列设备外，还需根据项目实际配套配置运输车辆、吸污车、车载融雪撒盐机、除雪铲、除雪滚刷等与本服务项目相关的专用作业设备。严禁使用国三及以下排放标准的车辆。</w:t>
      </w:r>
      <w:r/>
    </w:p>
    <w:p>
      <w:pPr>
        <w:ind w:firstLine="422"/>
        <w:jc w:val="left"/>
        <w:widowControl/>
        <w:rPr>
          <w:rFonts w:hint="eastAsia" w:ascii="宋体" w:hAnsi="宋体"/>
          <w:b/>
        </w:rPr>
      </w:pPr>
      <w:r>
        <w:rPr>
          <w:rFonts w:hint="eastAsia" w:ascii="宋体" w:hAnsi="宋体"/>
          <w:b/>
        </w:rPr>
        <w:t xml:space="preserve">2、作业人员数量配备参考：</w:t>
      </w:r>
      <w:r/>
    </w:p>
    <w:p>
      <w:pPr>
        <w:ind w:firstLine="482"/>
        <w:jc w:val="center"/>
        <w:spacing w:line="312" w:lineRule="auto"/>
        <w:rPr>
          <w:rFonts w:hint="eastAsia" w:ascii="仿宋" w:hAnsi="仿宋" w:eastAsia="仿宋" w:cs="仿宋"/>
          <w:b/>
          <w:szCs w:val="21"/>
        </w:rPr>
      </w:pPr>
      <w:r>
        <w:rPr>
          <w:rFonts w:hint="eastAsia" w:ascii="仿宋" w:hAnsi="仿宋" w:eastAsia="仿宋" w:cs="仿宋"/>
          <w:b/>
          <w:szCs w:val="21"/>
        </w:rPr>
        <w:t xml:space="preserve">清扫保洁劳动力数量配备最低要求列表</w:t>
      </w:r>
      <w:r/>
    </w:p>
    <w:tbl>
      <w:tblPr>
        <w:tblW w:w="8262" w:type="dxa"/>
        <w:jc w:val="center"/>
        <w:tblLayout w:type="fixed"/>
        <w:tblLook w:val="04A0" w:firstRow="1" w:lastRow="0" w:firstColumn="1" w:lastColumn="0" w:noHBand="0" w:noVBand="1"/>
      </w:tblPr>
      <w:tblGrid>
        <w:gridCol w:w="782"/>
        <w:gridCol w:w="952"/>
        <w:gridCol w:w="888"/>
        <w:gridCol w:w="867"/>
        <w:gridCol w:w="1011"/>
        <w:gridCol w:w="1122"/>
        <w:gridCol w:w="1064"/>
        <w:gridCol w:w="842"/>
        <w:gridCol w:w="734"/>
      </w:tblGrid>
      <w:tr>
        <w:trPr>
          <w:jc w:val="center"/>
          <w:trHeight w:val="76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工种</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管理人员（含安全员）</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班组长</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驾驶员</w:t>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道路保洁员</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道板冲洗工</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垃圾收运人员</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公厕保洁员</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合计</w:t>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人数</w:t>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rPr>
              <w:t xml:space="preserve">4</w:t>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867" w:type="dxa"/>
            <w:vAlign w:val="center"/>
            <w:textDirection w:val="lrTb"/>
            <w:noWrap w:val="false"/>
          </w:tcPr>
          <w:p>
            <w:pPr>
              <w:jc w:val="center"/>
              <w:widowControl/>
              <w:rPr>
                <w:rFonts w:hint="eastAsia" w:ascii="仿宋" w:hAnsi="仿宋" w:eastAsia="仿宋" w:cs="仿宋"/>
                <w:szCs w:val="21"/>
                <w:lang w:bidi="ar"/>
              </w:rPr>
            </w:pPr>
            <w:r>
              <w:rPr>
                <w:rFonts w:hint="eastAsia" w:ascii="仿宋" w:hAnsi="仿宋" w:eastAsia="仿宋" w:cs="仿宋"/>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86</w:t>
            </w:r>
            <w:r/>
          </w:p>
        </w:tc>
        <w:tc>
          <w:tcPr>
            <w:tcBorders>
              <w:top w:val="single" w:color="000000" w:sz="4" w:space="0"/>
              <w:left w:val="single" w:color="000000" w:sz="4" w:space="0"/>
              <w:bottom w:val="single" w:color="000000" w:sz="4" w:space="0"/>
              <w:right w:val="single" w:color="000000" w:sz="4" w:space="0"/>
            </w:tcBorders>
            <w:tcW w:w="112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734" w:type="dxa"/>
            <w:vAlign w:val="center"/>
            <w:textDirection w:val="lrTb"/>
            <w:noWrap w:val="false"/>
          </w:tcPr>
          <w:p>
            <w:pPr>
              <w:jc w:val="center"/>
              <w:widowControl/>
              <w:rPr>
                <w:rFonts w:hint="eastAsia" w:ascii="仿宋" w:hAnsi="仿宋" w:eastAsia="仿宋" w:cs="仿宋"/>
                <w:szCs w:val="21"/>
              </w:rPr>
            </w:pPr>
            <w:r>
              <w:rPr>
                <w:rFonts w:hint="eastAsia" w:ascii="仿宋" w:hAnsi="仿宋" w:eastAsia="仿宋" w:cs="仿宋"/>
                <w:szCs w:val="21"/>
                <w:lang w:bidi="ar"/>
              </w:rPr>
              <w:t xml:space="preserve">125</w:t>
            </w:r>
            <w:r/>
          </w:p>
        </w:tc>
      </w:tr>
    </w:tbl>
    <w:p>
      <w:pPr>
        <w:pStyle w:val="1026"/>
        <w:rPr>
          <w:rFonts w:cs="仿宋"/>
          <w:b/>
          <w:szCs w:val="21"/>
        </w:rPr>
      </w:pPr>
      <w:r>
        <w:rPr>
          <w:rFonts w:cs="仿宋"/>
          <w:b/>
          <w:szCs w:val="21"/>
        </w:rPr>
      </w:r>
      <w:r/>
    </w:p>
    <w:p>
      <w:r/>
      <w:r/>
    </w:p>
    <w:p>
      <w:r/>
      <w:r/>
    </w:p>
    <w:p>
      <w:pPr>
        <w:ind w:firstLine="482"/>
        <w:jc w:val="left"/>
        <w:spacing w:line="360" w:lineRule="auto"/>
        <w:rPr>
          <w:rFonts w:hint="eastAsia" w:ascii="仿宋" w:hAnsi="仿宋" w:eastAsia="仿宋" w:cs="仿宋"/>
          <w:b/>
          <w:szCs w:val="21"/>
        </w:rPr>
      </w:pPr>
      <w:r>
        <w:rPr>
          <w:rFonts w:hint="eastAsia" w:ascii="仿宋" w:hAnsi="仿宋" w:eastAsia="仿宋" w:cs="仿宋"/>
          <w:b/>
          <w:szCs w:val="21"/>
        </w:rPr>
        <w:t xml:space="preserve">★3、绿化管养最低配备项目团队人员要求列表</w:t>
      </w:r>
      <w:r/>
    </w:p>
    <w:tbl>
      <w:tblPr>
        <w:tblW w:w="83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02"/>
        <w:gridCol w:w="1347"/>
        <w:gridCol w:w="1210"/>
        <w:gridCol w:w="1627"/>
        <w:gridCol w:w="980"/>
        <w:gridCol w:w="1095"/>
        <w:gridCol w:w="552"/>
      </w:tblGrid>
      <w:tr>
        <w:trPr>
          <w:jc w:val="center"/>
          <w:trHeight w:val="90"/>
        </w:trPr>
        <w:tc>
          <w:tcPr>
            <w:tcW w:w="1502" w:type="dxa"/>
            <w:vAlign w:val="center"/>
            <w:textDirection w:val="lrTb"/>
            <w:noWrap w:val="false"/>
          </w:tcPr>
          <w:p>
            <w:pPr>
              <w:pStyle w:val="1026"/>
              <w:contextualSpacing/>
              <w:ind w:firstLine="420"/>
              <w:spacing w:line="360" w:lineRule="auto"/>
              <w:rPr>
                <w:rFonts w:hint="eastAsia" w:ascii="仿宋" w:hAnsi="仿宋" w:eastAsia="仿宋" w:cs="仿宋"/>
                <w:szCs w:val="21"/>
              </w:rPr>
            </w:pPr>
            <w:r>
              <w:rPr>
                <w:rFonts w:hint="eastAsia" w:ascii="仿宋" w:hAnsi="仿宋" w:eastAsia="仿宋" w:cs="仿宋"/>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-45720</wp:posOffset>
                      </wp:positionH>
                      <wp:positionV relativeFrom="paragraph">
                        <wp:posOffset>-1905</wp:posOffset>
                      </wp:positionV>
                      <wp:extent cx="923290" cy="514350"/>
                      <wp:effectExtent l="2540" t="4445" r="13970" b="14604"/>
                      <wp:wrapNone/>
                      <wp:docPr id="7" name="直接箭头连接符 2"/>
                      <wp:cNvGraphicFramePr/>
                      <a:graphic xmlns:a="http://schemas.openxmlformats.org/drawingml/2006/main">
                        <a:graphicData uri="http://schemas.microsoft.com/office/word/2010/wordprocessingShape">
                          <wps:wsp>
                            <wps:cNvPr id="0" name=""/>
                            <wps:cNvSpPr/>
                            <wps:spPr bwMode="auto">
                              <a:xfrm>
                                <a:off x="0" y="0"/>
                                <a:ext cx="923290" cy="51435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2336;o:allowoverlap:true;o:allowincell:true;mso-position-horizontal-relative:text;margin-left:-3.6pt;mso-position-horizontal:absolute;mso-position-vertical-relative:text;margin-top:-0.1pt;mso-position-vertical:absolute;width:72.7pt;height:40.5pt;mso-wrap-distance-left:9.0pt;mso-wrap-distance-top:0.0pt;mso-wrap-distance-right:9.0pt;mso-wrap-distance-bottom:0.0pt;visibility:visible;" filled="f" strokecolor="#000000" strokeweight="0.75pt">
                      <v:stroke dashstyle="solid"/>
                    </v:shape>
                  </w:pict>
                </mc:Fallback>
              </mc:AlternateContent>
            </w:r>
            <w:r>
              <w:rPr>
                <w:rFonts w:hint="eastAsia" w:ascii="仿宋" w:hAnsi="仿宋" w:eastAsia="仿宋" w:cs="仿宋"/>
                <w:szCs w:val="21"/>
              </w:rPr>
              <w:t xml:space="preserve">人工     </w:t>
            </w:r>
            <w:r/>
          </w:p>
          <w:p>
            <w:pPr>
              <w:pStyle w:val="1026"/>
              <w:contextualSpacing/>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W w:w="1347"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拟投入最低现场养护人员人数</w:t>
            </w:r>
            <w:r/>
          </w:p>
        </w:tc>
        <w:tc>
          <w:tcPr>
            <w:tcW w:w="1210"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拟投入最低巡查人员人数</w:t>
            </w:r>
            <w:r/>
          </w:p>
        </w:tc>
        <w:tc>
          <w:tcPr>
            <w:tcW w:w="1627"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拟投入最低安全员人数</w:t>
            </w:r>
            <w:r/>
          </w:p>
        </w:tc>
        <w:tc>
          <w:tcPr>
            <w:tcW w:w="980"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登高作业人员</w:t>
            </w:r>
            <w:r/>
          </w:p>
        </w:tc>
        <w:tc>
          <w:tcPr>
            <w:tcW w:w="1095"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绿化管养负责人</w:t>
            </w:r>
            <w:r/>
          </w:p>
        </w:tc>
        <w:tc>
          <w:tcPr>
            <w:tcW w:w="552"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合计</w:t>
            </w:r>
            <w:r/>
          </w:p>
        </w:tc>
      </w:tr>
      <w:tr>
        <w:trPr>
          <w:jc w:val="center"/>
        </w:trPr>
        <w:tc>
          <w:tcPr>
            <w:tcW w:w="1502" w:type="dxa"/>
            <w:vAlign w:val="center"/>
            <w:textDirection w:val="lrTb"/>
            <w:noWrap w:val="false"/>
          </w:tcPr>
          <w:p>
            <w:pPr>
              <w:pStyle w:val="1026"/>
              <w:contextualSpacing/>
              <w:jc w:val="center"/>
              <w:spacing w:line="360" w:lineRule="auto"/>
              <w:rPr>
                <w:rFonts w:hint="eastAsia" w:ascii="仿宋" w:hAnsi="仿宋" w:eastAsia="仿宋" w:cs="仿宋"/>
                <w:szCs w:val="21"/>
              </w:rPr>
            </w:pPr>
            <w:r>
              <w:rPr>
                <w:rFonts w:hint="eastAsia" w:ascii="仿宋" w:hAnsi="仿宋" w:eastAsia="仿宋" w:cs="仿宋"/>
                <w:szCs w:val="21"/>
              </w:rPr>
              <w:t xml:space="preserve">人数</w:t>
            </w:r>
            <w:r/>
          </w:p>
        </w:tc>
        <w:tc>
          <w:tcPr>
            <w:tcW w:w="1347"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12</w:t>
            </w:r>
            <w:r/>
          </w:p>
        </w:tc>
        <w:tc>
          <w:tcPr>
            <w:tcW w:w="1210" w:type="dxa"/>
            <w:vAlign w:val="center"/>
            <w:textDirection w:val="lrTb"/>
            <w:noWrap w:val="false"/>
          </w:tcPr>
          <w:p>
            <w:pPr>
              <w:pStyle w:val="1027"/>
              <w:ind w:firstLine="0"/>
              <w:jc w:val="center"/>
              <w:tabs>
                <w:tab w:val="left" w:pos="400" w:leader="none"/>
              </w:tabs>
              <w:rPr>
                <w:rFonts w:hint="eastAsia" w:ascii="仿宋" w:hAnsi="仿宋" w:eastAsia="仿宋" w:cs="仿宋"/>
                <w:sz w:val="21"/>
                <w:szCs w:val="21"/>
              </w:rPr>
            </w:pPr>
            <w:r>
              <w:rPr>
                <w:rFonts w:hint="eastAsia" w:ascii="仿宋" w:hAnsi="仿宋" w:eastAsia="仿宋" w:cs="仿宋"/>
                <w:sz w:val="21"/>
                <w:szCs w:val="21"/>
              </w:rPr>
              <w:t xml:space="preserve">2</w:t>
            </w:r>
            <w:r/>
          </w:p>
        </w:tc>
        <w:tc>
          <w:tcPr>
            <w:tcW w:w="1627"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1</w:t>
            </w:r>
            <w:r/>
          </w:p>
        </w:tc>
        <w:tc>
          <w:tcPr>
            <w:tcW w:w="980"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1</w:t>
            </w:r>
            <w:r/>
          </w:p>
        </w:tc>
        <w:tc>
          <w:tcPr>
            <w:tcW w:w="1095"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1</w:t>
            </w:r>
            <w:r/>
          </w:p>
        </w:tc>
        <w:tc>
          <w:tcPr>
            <w:tcW w:w="552" w:type="dxa"/>
            <w:vAlign w:val="center"/>
            <w:textDirection w:val="lrTb"/>
            <w:noWrap w:val="false"/>
          </w:tcPr>
          <w:p>
            <w:pPr>
              <w:pStyle w:val="1027"/>
              <w:ind w:firstLine="0"/>
              <w:jc w:val="center"/>
              <w:rPr>
                <w:rFonts w:hint="eastAsia" w:ascii="仿宋" w:hAnsi="仿宋" w:eastAsia="仿宋" w:cs="仿宋"/>
                <w:sz w:val="21"/>
                <w:szCs w:val="21"/>
              </w:rPr>
            </w:pPr>
            <w:r>
              <w:rPr>
                <w:rFonts w:hint="eastAsia" w:ascii="仿宋" w:hAnsi="仿宋" w:eastAsia="仿宋" w:cs="仿宋"/>
                <w:sz w:val="21"/>
                <w:szCs w:val="21"/>
              </w:rPr>
              <w:t xml:space="preserve">17</w:t>
            </w:r>
            <w:r/>
          </w:p>
        </w:tc>
      </w:tr>
    </w:tbl>
    <w:p>
      <w:pPr>
        <w:pStyle w:val="1026"/>
        <w:rPr>
          <w:rFonts w:cs="仿宋"/>
          <w:b/>
          <w:szCs w:val="21"/>
        </w:rPr>
      </w:pPr>
      <w:r>
        <w:rPr>
          <w:rFonts w:cs="仿宋"/>
          <w:b/>
          <w:szCs w:val="21"/>
        </w:rPr>
      </w:r>
      <w:r/>
    </w:p>
    <w:p>
      <w:pPr>
        <w:pStyle w:val="1020"/>
        <w:jc w:val="both"/>
        <w:keepLines/>
        <w:keepNext/>
        <w:spacing w:line="240" w:lineRule="auto"/>
        <w:rPr>
          <w:sz w:val="28"/>
          <w:szCs w:val="28"/>
        </w:rPr>
      </w:pPr>
      <w:r>
        <w:rPr>
          <w:rFonts w:hint="eastAsia"/>
          <w:sz w:val="28"/>
          <w:szCs w:val="28"/>
        </w:rPr>
        <w:t xml:space="preserve">五、投标及报价要求</w:t>
      </w:r>
      <w:r/>
    </w:p>
    <w:p>
      <w:pPr>
        <w:ind w:firstLine="420"/>
        <w:jc w:val="left"/>
        <w:spacing w:line="440" w:lineRule="exact"/>
        <w:widowControl/>
        <w:rPr>
          <w:rFonts w:hint="eastAsia" w:ascii="宋体" w:hAnsi="宋体"/>
        </w:rPr>
      </w:pPr>
      <w:r>
        <w:rPr>
          <w:rFonts w:hint="eastAsia" w:ascii="宋体" w:hAnsi="宋体"/>
        </w:rPr>
        <w:t xml:space="preserve">1、投标人应自行调查测算各种费用，投标报价为服务作业期限内所有运行费用。</w:t>
      </w:r>
      <w:r/>
    </w:p>
    <w:p>
      <w:pPr>
        <w:ind w:firstLine="420"/>
        <w:jc w:val="left"/>
        <w:spacing w:line="440" w:lineRule="exact"/>
        <w:widowControl/>
        <w:rPr>
          <w:rFonts w:hint="eastAsia" w:ascii="宋体" w:hAnsi="宋体"/>
        </w:rPr>
      </w:pPr>
      <w:r>
        <w:rPr>
          <w:rFonts w:hint="eastAsia" w:ascii="宋体" w:hAnsi="宋体"/>
        </w:rPr>
        <w:t xml:space="preserve">（1）环卫服务投标报价应包括承包期内车辆折旧、设备、辅助材料、人工工资、五险一金、机械、运输、仓储、备品备件、保险、劳保、利润、各种税费、培训、专利技术、不可预见费用等一切费用。</w:t>
      </w:r>
      <w:r/>
    </w:p>
    <w:p>
      <w:pPr>
        <w:ind w:firstLine="420"/>
        <w:jc w:val="left"/>
        <w:spacing w:line="440" w:lineRule="exact"/>
        <w:widowControl/>
        <w:rPr>
          <w:rFonts w:hint="eastAsia" w:ascii="宋体" w:hAnsi="宋体"/>
        </w:rPr>
      </w:pPr>
      <w:r>
        <w:rPr>
          <w:rFonts w:hint="eastAsia" w:ascii="宋体" w:hAnsi="宋体"/>
        </w:rPr>
        <w:t xml:space="preserve">（2）绿化养护投标报价应包括在承包期内绿化养护需要的人工、材料、机械、 管理、维护修理、保险、利润、税金、政策性文件规定及合同包含的所有风险、责任等各项应有费用。 所报绿化养护价格涵盖绿化养护各种作业，即基于现有绿化和绿化设施发生的一切与养护有关的费用。主要有修剪、除草、 浇水、施肥、植保、松土、平整土方与开堰沟、斜树扶正与支撑、防寒与保暖、死树杂物和落叶的清理、果实的摘除、设施的维护和修缮等、资料文档的积累、绿化现场的巡查等。</w:t>
      </w:r>
      <w:r/>
    </w:p>
    <w:p>
      <w:pPr>
        <w:ind w:firstLine="420"/>
        <w:jc w:val="left"/>
        <w:spacing w:line="440" w:lineRule="exact"/>
        <w:widowControl/>
        <w:rPr>
          <w:rFonts w:hint="eastAsia" w:ascii="宋体" w:hAnsi="宋体" w:cs="宋体"/>
          <w:sz w:val="24"/>
        </w:rPr>
      </w:pPr>
      <w:r>
        <w:rPr>
          <w:rFonts w:hint="eastAsia" w:ascii="宋体" w:hAnsi="宋体"/>
        </w:rPr>
        <w:t xml:space="preserve">2、作业</w:t>
      </w:r>
      <w:r>
        <w:rPr>
          <w:rFonts w:hint="eastAsia" w:ascii="宋体" w:hAnsi="宋体" w:cs="宋体"/>
        </w:rPr>
        <w:t xml:space="preserve">人员工资、社保及</w:t>
      </w:r>
      <w:r>
        <w:rPr>
          <w:rFonts w:hint="eastAsia" w:ascii="宋体" w:hAnsi="宋体"/>
        </w:rPr>
        <w:t xml:space="preserve">基本福利：按照省市相关法律法规不得低于最低标准，高温费按省市相关规定不得低于最低标准，人身意外保险或雇主责任险不得低于≥</w:t>
      </w:r>
      <w:r>
        <w:rPr>
          <w:rFonts w:hint="eastAsia"/>
        </w:rPr>
        <w:t xml:space="preserve">400</w:t>
      </w:r>
      <w:r>
        <w:rPr>
          <w:rFonts w:hint="eastAsia" w:ascii="宋体" w:hAnsi="宋体"/>
          <w:sz w:val="20"/>
          <w:szCs w:val="20"/>
        </w:rPr>
        <w:t xml:space="preserve">元</w:t>
      </w:r>
      <w:r>
        <w:rPr>
          <w:rFonts w:hint="eastAsia"/>
          <w:sz w:val="20"/>
          <w:szCs w:val="20"/>
        </w:rPr>
        <w:t xml:space="preserve">/</w:t>
      </w:r>
      <w:r>
        <w:rPr>
          <w:rFonts w:hint="eastAsia" w:ascii="宋体" w:hAnsi="宋体"/>
          <w:sz w:val="20"/>
          <w:szCs w:val="20"/>
        </w:rPr>
        <w:t xml:space="preserve">年</w:t>
      </w:r>
      <w:r>
        <w:rPr>
          <w:rFonts w:hint="eastAsia"/>
          <w:sz w:val="20"/>
          <w:szCs w:val="20"/>
        </w:rPr>
        <w:t xml:space="preserve">.</w:t>
      </w:r>
      <w:r>
        <w:rPr>
          <w:rFonts w:hint="eastAsia" w:ascii="宋体" w:hAnsi="宋体"/>
          <w:sz w:val="20"/>
          <w:szCs w:val="20"/>
        </w:rPr>
        <w:t xml:space="preserve">人</w:t>
      </w:r>
      <w:r>
        <w:rPr>
          <w:rFonts w:hint="eastAsia" w:ascii="宋体" w:hAnsi="宋体"/>
        </w:rPr>
        <w:t xml:space="preserve">。</w:t>
      </w:r>
      <w:r/>
    </w:p>
    <w:p>
      <w:pPr>
        <w:ind w:firstLine="420"/>
        <w:jc w:val="left"/>
        <w:spacing w:line="440" w:lineRule="exact"/>
        <w:widowControl/>
        <w:rPr>
          <w:rFonts w:hint="eastAsia" w:ascii="宋体" w:hAnsi="宋体"/>
        </w:rPr>
      </w:pPr>
      <w:r>
        <w:rPr>
          <w:rFonts w:hint="eastAsia" w:ascii="宋体" w:hAnsi="宋体" w:cs="宋体"/>
        </w:rPr>
        <w:t xml:space="preserve">3、中标供应商依据市政府办公室印发的《关于进一步加强城市道路清扫保洁工作的实施意见的通知》，每月随工资为符合条件的一线环卫职工发放慰问金。慰问金发放标准为498元/人.月（绿化养护人员除外），遇市级政策调整时慰问金发放标准相应调整。</w:t>
      </w:r>
      <w:r/>
    </w:p>
    <w:p>
      <w:pPr>
        <w:ind w:firstLine="420"/>
        <w:jc w:val="left"/>
        <w:spacing w:line="440" w:lineRule="exact"/>
        <w:widowControl/>
        <w:rPr>
          <w:rFonts w:hint="eastAsia" w:ascii="宋体" w:hAnsi="宋体"/>
        </w:rPr>
      </w:pPr>
      <w:r>
        <w:rPr>
          <w:rFonts w:hint="eastAsia" w:ascii="宋体" w:hAnsi="宋体"/>
        </w:rPr>
        <w:t xml:space="preserve">4、供应商投入的车辆装备使用成本应由各供应商自行考虑在投标报价中。</w:t>
      </w:r>
      <w:r/>
    </w:p>
    <w:p>
      <w:pPr>
        <w:ind w:firstLine="420"/>
        <w:jc w:val="left"/>
        <w:spacing w:line="440" w:lineRule="exact"/>
        <w:widowControl/>
        <w:rPr>
          <w:rFonts w:hint="eastAsia" w:ascii="宋体" w:hAnsi="宋体" w:cs="宋体"/>
          <w:sz w:val="24"/>
        </w:rPr>
      </w:pPr>
      <w:r>
        <w:rPr>
          <w:rFonts w:hint="eastAsia" w:ascii="宋体" w:hAnsi="宋体"/>
        </w:rPr>
        <w:t xml:space="preserve">7、因突发情况（如台风、雨雪、冰雹、霜或冰冻等天气或气候因素，或车辆、居民、行人等人为因素，或是其它因素，以及复合因素或不明原因的情况）导致的道路污染必须及时清除，不论这些因素是可预测或不可预测的，均已包含在投标报价中。</w:t>
      </w:r>
      <w:r/>
    </w:p>
    <w:p>
      <w:pPr>
        <w:ind w:firstLine="422"/>
        <w:jc w:val="left"/>
        <w:spacing w:line="440" w:lineRule="exact"/>
        <w:widowControl/>
        <w:rPr>
          <w:rFonts w:hint="eastAsia" w:ascii="宋体" w:hAnsi="宋体" w:cs="宋体"/>
          <w:sz w:val="24"/>
        </w:rPr>
      </w:pPr>
      <w:r>
        <w:rPr>
          <w:rFonts w:hint="eastAsia" w:ascii="宋体" w:hAnsi="宋体"/>
          <w:b/>
        </w:rPr>
        <w:t xml:space="preserve">8、投标人在投标时应充分考虑市场因素和成本变化状况的风险，一旦中标，所报的投标报价，即为签订的合同价。在服务期内如因政策性因素调整导致相关人员的工资、社保、节假日、高温补贴出现变化的，该部分费用由中标供应商自行承担，各供应商在报价时须综合考虑风险。</w:t>
      </w:r>
      <w:r/>
    </w:p>
    <w:p>
      <w:pPr>
        <w:ind w:firstLine="420"/>
        <w:jc w:val="left"/>
        <w:spacing w:line="440" w:lineRule="exact"/>
        <w:widowControl/>
        <w:rPr>
          <w:rFonts w:hint="eastAsia" w:ascii="宋体" w:hAnsi="宋体" w:cs="宋体"/>
          <w:sz w:val="24"/>
        </w:rPr>
      </w:pPr>
      <w:r>
        <w:rPr>
          <w:rFonts w:hint="eastAsia" w:ascii="宋体" w:hAnsi="宋体"/>
        </w:rPr>
        <w:t xml:space="preserve">9、投标文件只允许一个报价，采购方不接受任何有选择性的投标报价。</w:t>
      </w:r>
      <w:r/>
    </w:p>
    <w:p>
      <w:pPr>
        <w:ind w:firstLine="420"/>
        <w:jc w:val="left"/>
        <w:spacing w:line="440" w:lineRule="exact"/>
        <w:widowControl/>
        <w:rPr>
          <w:rFonts w:hint="eastAsia" w:ascii="宋体" w:hAnsi="宋体"/>
        </w:rPr>
      </w:pPr>
      <w:r>
        <w:rPr>
          <w:rFonts w:hint="eastAsia" w:ascii="宋体" w:hAnsi="宋体"/>
        </w:rPr>
        <w:t xml:space="preserve">9、采购人不接受具有附加条件的报价，含有附加条件的报价视为无效投标。</w:t>
      </w:r>
      <w:r/>
    </w:p>
    <w:p>
      <w:pPr>
        <w:pStyle w:val="1020"/>
        <w:jc w:val="both"/>
        <w:keepLines/>
        <w:keepNext/>
        <w:spacing w:line="240" w:lineRule="auto"/>
        <w:rPr>
          <w:sz w:val="28"/>
          <w:szCs w:val="28"/>
        </w:rPr>
      </w:pPr>
      <w:r>
        <w:rPr>
          <w:rFonts w:hint="eastAsia"/>
          <w:sz w:val="28"/>
          <w:szCs w:val="28"/>
        </w:rPr>
        <w:t xml:space="preserve">七、考核及结算方式</w:t>
      </w:r>
      <w:r/>
    </w:p>
    <w:p>
      <w:pPr>
        <w:pStyle w:val="1021"/>
        <w:spacing w:before="0" w:after="0" w:line="413" w:lineRule="auto"/>
        <w:rPr>
          <w:rFonts w:hint="eastAsia" w:ascii="宋体" w:hAnsi="宋体" w:cs="宋体"/>
          <w:spacing w:val="11"/>
        </w:rPr>
      </w:pPr>
      <w:r>
        <w:rPr>
          <w:rFonts w:hint="eastAsia" w:asciiTheme="minorEastAsia" w:hAnsiTheme="minorEastAsia" w:eastAsiaTheme="minorEastAsia" w:cstheme="minorEastAsia"/>
          <w:sz w:val="24"/>
          <w:szCs w:val="24"/>
        </w:rPr>
        <w:t xml:space="preserve">（一）环卫作业考核办法及结算方式</w:t>
      </w:r>
      <w:r/>
    </w:p>
    <w:p>
      <w:pPr>
        <w:ind w:firstLine="420"/>
        <w:jc w:val="left"/>
        <w:spacing w:line="440" w:lineRule="exact"/>
        <w:widowControl/>
        <w:rPr>
          <w:rFonts w:hint="eastAsia" w:ascii="宋体" w:hAnsi="宋体"/>
        </w:rPr>
      </w:pPr>
      <w:r>
        <w:rPr>
          <w:rFonts w:hint="eastAsia" w:ascii="宋体" w:hAnsi="宋体"/>
        </w:rPr>
        <w:t xml:space="preserve">1、涉及本合同中的工作考核及相关费用支付，以镇相应的长效管理办法及考核文件为依据，实际拨付时按照后续的考核细则内容及确定的考核扣款结果为准。</w:t>
      </w:r>
      <w:r/>
    </w:p>
    <w:p>
      <w:pPr>
        <w:ind w:firstLine="420"/>
        <w:jc w:val="left"/>
        <w:spacing w:line="440" w:lineRule="exact"/>
        <w:widowControl/>
        <w:rPr>
          <w:rFonts w:hint="eastAsia" w:ascii="宋体" w:hAnsi="宋体"/>
        </w:rPr>
      </w:pPr>
      <w:r>
        <w:rPr>
          <w:rFonts w:hint="eastAsia" w:ascii="宋体" w:hAnsi="宋体"/>
        </w:rPr>
        <w:t xml:space="preserve">2、付款方式：根据每年合同金额平均到每月，扣除每月各项考核后，剩余费用按季度支付给中标人。</w:t>
      </w:r>
      <w:r/>
    </w:p>
    <w:p>
      <w:pPr>
        <w:ind w:firstLine="420"/>
        <w:jc w:val="left"/>
        <w:spacing w:line="440" w:lineRule="exact"/>
        <w:widowControl/>
        <w:rPr>
          <w:rFonts w:hint="eastAsia" w:ascii="宋体" w:hAnsi="宋体"/>
        </w:rPr>
      </w:pPr>
      <w:r>
        <w:rPr>
          <w:rFonts w:hint="eastAsia" w:ascii="宋体" w:hAnsi="宋体"/>
        </w:rPr>
        <w:t xml:space="preserve">季度付款=季度作业费用一各部门考核累计扣除金额。</w:t>
      </w:r>
      <w:r/>
    </w:p>
    <w:p>
      <w:pPr>
        <w:ind w:firstLine="420"/>
        <w:jc w:val="left"/>
        <w:spacing w:line="440" w:lineRule="exact"/>
        <w:widowControl/>
        <w:rPr>
          <w:rFonts w:hint="eastAsia" w:ascii="宋体" w:hAnsi="宋体"/>
        </w:rPr>
      </w:pPr>
      <w:r>
        <w:rPr>
          <w:rFonts w:hint="eastAsia" w:ascii="宋体" w:hAnsi="宋体"/>
        </w:rPr>
        <w:t xml:space="preserve">考核扣除金额：市考评问题2000元/个，区考评问题500元/个， 镇考评或领导发现问题100元/个。</w:t>
      </w:r>
      <w:r/>
    </w:p>
    <w:p>
      <w:pPr>
        <w:ind w:firstLine="420"/>
        <w:jc w:val="left"/>
        <w:spacing w:line="440" w:lineRule="exact"/>
        <w:widowControl/>
        <w:rPr>
          <w:rFonts w:hint="eastAsia" w:ascii="宋体" w:hAnsi="宋体"/>
        </w:rPr>
      </w:pPr>
      <w:r>
        <w:rPr>
          <w:rFonts w:hint="eastAsia" w:ascii="宋体" w:hAnsi="宋体"/>
        </w:rPr>
        <w:t xml:space="preserve">遇有重大活动、灾害性雨雪天气等特殊情况，组织员工按照应急预案和街道的要求，做好保障工作，应急补贴费用不超过100元/人/天。</w:t>
      </w:r>
      <w:r/>
    </w:p>
    <w:p>
      <w:pPr>
        <w:pStyle w:val="1021"/>
        <w:spacing w:before="0" w:after="0" w:line="413"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（二）绿化养护考核办法及结算方式</w:t>
      </w:r>
      <w:r/>
    </w:p>
    <w:p>
      <w:pPr>
        <w:ind w:firstLine="420"/>
        <w:jc w:val="left"/>
        <w:spacing w:line="440" w:lineRule="exact"/>
        <w:widowControl/>
        <w:rPr>
          <w:rFonts w:hint="eastAsia" w:ascii="宋体" w:hAnsi="宋体"/>
        </w:rPr>
      </w:pPr>
      <w:r>
        <w:rPr>
          <w:rFonts w:hint="eastAsia" w:ascii="宋体" w:hAnsi="宋体"/>
        </w:rPr>
        <w:t xml:space="preserve">1、全年按合同年有奔牛镇绿化管护考核组（建设管理办公室，综合行政执法和安全生产监督管理办公室，财政和资产管理办公室等人员组成）每三个月进行一次季度考核，平时不定期实地检查和查阅管护台账记录方式进行考核（扣分累加纳入季度考核）。</w:t>
      </w:r>
      <w:r/>
    </w:p>
    <w:p>
      <w:pPr>
        <w:ind w:firstLine="420"/>
        <w:jc w:val="left"/>
        <w:spacing w:line="440" w:lineRule="exact"/>
        <w:widowControl/>
        <w:rPr>
          <w:rFonts w:hint="eastAsia" w:ascii="宋体" w:hAnsi="宋体"/>
        </w:rPr>
      </w:pPr>
      <w:r>
        <w:rPr>
          <w:rFonts w:hint="eastAsia" w:ascii="宋体" w:hAnsi="宋体"/>
        </w:rPr>
        <w:t xml:space="preserve">2、考核标准严格按《奔牛镇公共绿地管护百分考核表》执行。每季度得分在90分以上（含90分）的为合格，90分以下为不合格（不含90分），85分—89分（含85分）的扣除每季度管护费的20%，80分—84分（含80分）的扣除每季度管护费的50%，79分以下管护经费不予结算。如季度考核两次不合格，中标人无条件退出管护权限，采购人另行招标化管护方，合同终止。</w:t>
      </w:r>
      <w:r/>
    </w:p>
    <w:p>
      <w:pPr>
        <w:ind w:firstLine="420"/>
        <w:jc w:val="left"/>
        <w:spacing w:line="440" w:lineRule="exact"/>
        <w:widowControl/>
        <w:rPr>
          <w:rFonts w:hint="eastAsia" w:ascii="宋体" w:hAnsi="宋体"/>
        </w:rPr>
      </w:pPr>
      <w:r>
        <w:rPr>
          <w:rFonts w:hint="eastAsia" w:ascii="宋体" w:hAnsi="宋体"/>
        </w:rPr>
        <w:t xml:space="preserve">3、日常检查和考评由市、区两级城市监督指挥中心，市、区两级“污防办“，市、区两级大气污染防治办公室，文明办、区环管中心和乡镇共同实施，考核得分采用各部门考评分累加的办法计算。市城市长效管理考评问题每个扣5000元，区城市长效管理考评和区环管中心考评的问题（现场考评和日常巡查未整改问题）每个扣1000元，乡镇考核及限时整改未达要求的问题每个扣500元，镇领导发现或其他问题每个扣100元，新的考评要求另定。</w:t>
      </w:r>
      <w:r/>
    </w:p>
    <w:p>
      <w:pPr>
        <w:ind w:firstLine="420"/>
        <w:jc w:val="left"/>
        <w:spacing w:line="440" w:lineRule="exact"/>
        <w:widowControl/>
        <w:rPr>
          <w:rFonts w:hint="eastAsia" w:ascii="宋体" w:hAnsi="宋体"/>
        </w:rPr>
      </w:pPr>
      <w:r>
        <w:rPr>
          <w:rFonts w:hint="eastAsia" w:ascii="宋体" w:hAnsi="宋体"/>
          <w:b/>
          <w:bCs/>
        </w:rPr>
        <w:t xml:space="preserve">4、结算方式：</w:t>
      </w:r>
      <w:r>
        <w:rPr>
          <w:rFonts w:hint="eastAsia" w:ascii="宋体" w:hAnsi="宋体"/>
        </w:rPr>
        <w:t xml:space="preserve">按照《奔牛镇公共绿地养护管理百分考核细则》考核分值,每季度支付养护费用。管护管理工作期限如有变动，资金拨付以实际服务期限为准。</w:t>
      </w:r>
      <w:r/>
    </w:p>
    <w:p>
      <w:pPr>
        <w:pStyle w:val="1026"/>
        <w:rPr>
          <w:rFonts w:hint="eastAsia" w:ascii="宋体" w:hAnsi="宋体"/>
        </w:rPr>
      </w:pPr>
      <w:r>
        <w:rPr>
          <w:rFonts w:hint="eastAsia" w:ascii="宋体" w:hAnsi="宋体"/>
        </w:rPr>
      </w:r>
      <w:r/>
    </w:p>
    <w:tbl>
      <w:tblPr>
        <w:tblW w:w="8719" w:type="dxa"/>
        <w:tblInd w:w="93" w:type="dxa"/>
        <w:tblLook w:val="04A0" w:firstRow="1" w:lastRow="0" w:firstColumn="1" w:lastColumn="0" w:noHBand="0" w:noVBand="1"/>
      </w:tblPr>
      <w:tblGrid>
        <w:gridCol w:w="1035"/>
        <w:gridCol w:w="555"/>
        <w:gridCol w:w="660"/>
        <w:gridCol w:w="2714"/>
        <w:gridCol w:w="675"/>
        <w:gridCol w:w="555"/>
        <w:gridCol w:w="2189"/>
        <w:gridCol w:w="336"/>
      </w:tblGrid>
      <w:tr>
        <w:trPr>
          <w:gridAfter w:val="1"/>
          <w:trHeight w:val="640"/>
        </w:trPr>
        <w:tc>
          <w:tcPr>
            <w:gridSpan w:val="7"/>
            <w:tcBorders>
              <w:top w:val="none" w:color="000000" w:sz="4" w:space="0"/>
              <w:left w:val="none" w:color="000000" w:sz="4" w:space="0"/>
              <w:bottom w:val="none" w:color="000000" w:sz="4" w:space="0"/>
              <w:right w:val="none" w:color="000000" w:sz="4" w:space="0"/>
            </w:tcBorders>
            <w:tcW w:w="8383" w:type="dxa"/>
            <w:vAlign w:val="center"/>
            <w:textDirection w:val="lrTb"/>
            <w:noWrap w:val="false"/>
          </w:tcPr>
          <w:p>
            <w:pPr>
              <w:jc w:val="center"/>
              <w:widowControl/>
              <w:rPr>
                <w:rFonts w:hint="eastAsia" w:ascii="宋体" w:hAnsi="宋体" w:cs="宋体"/>
                <w:b/>
                <w:bCs/>
                <w:sz w:val="32"/>
                <w:szCs w:val="32"/>
              </w:rPr>
            </w:pPr>
            <w:r>
              <w:rPr>
                <w:rFonts w:hint="eastAsia" w:ascii="宋体" w:hAnsi="宋体" w:cs="宋体"/>
                <w:b/>
                <w:bCs/>
                <w:sz w:val="32"/>
                <w:szCs w:val="32"/>
                <w:lang w:bidi="ar"/>
              </w:rPr>
              <w:t xml:space="preserve">考核标准及细则</w:t>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textDirection w:val="lrTb"/>
            <w:noWrap w:val="false"/>
          </w:tcPr>
          <w:p>
            <w:pPr>
              <w:jc w:val="center"/>
              <w:rPr>
                <w:rFonts w:hint="eastAsia" w:ascii="宋体" w:hAnsi="宋体" w:cs="宋体"/>
                <w:b/>
                <w:bCs/>
                <w:sz w:val="22"/>
              </w:rPr>
            </w:pPr>
            <w:r>
              <w:rPr>
                <w:rFonts w:hint="eastAsia" w:ascii="宋体" w:hAnsi="宋体" w:cs="宋体"/>
                <w:b/>
                <w:bCs/>
                <w:sz w:val="22"/>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序号</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分类</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考核内容及管护要求</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标准分值</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得分</w:t>
            </w:r>
            <w:r/>
          </w:p>
        </w:tc>
        <w:tc>
          <w:tcPr>
            <w:gridSpan w:val="2"/>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center"/>
              <w:widowControl/>
              <w:rPr>
                <w:rFonts w:hint="eastAsia" w:ascii="宋体" w:hAnsi="宋体" w:cs="宋体"/>
                <w:b/>
                <w:bCs/>
                <w:sz w:val="22"/>
              </w:rPr>
            </w:pPr>
            <w:r>
              <w:rPr>
                <w:rFonts w:hint="eastAsia" w:ascii="宋体" w:hAnsi="宋体" w:cs="宋体"/>
                <w:b/>
                <w:bCs/>
                <w:sz w:val="22"/>
                <w:lang w:bidi="ar"/>
              </w:rPr>
              <w:t xml:space="preserve">扣分细则</w:t>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常规工作</w:t>
            </w:r>
            <w:r>
              <w:rPr>
                <w:rFonts w:hint="eastAsia" w:ascii="宋体" w:hAnsi="宋体" w:cs="宋体"/>
                <w:sz w:val="22"/>
                <w:lang w:bidi="ar"/>
              </w:rPr>
              <w:br/>
            </w:r>
            <w:r>
              <w:rPr>
                <w:rFonts w:hint="eastAsia" w:ascii="宋体" w:hAnsi="宋体" w:cs="宋体"/>
                <w:sz w:val="22"/>
                <w:lang w:bidi="ar"/>
              </w:rPr>
              <w:t xml:space="preserve">（30分）</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卫生保洁</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1、树木、草坪修剪后枝叶、垃圾应及时清运不过夜，做到不乱丢乱抛。</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整修后树枝乱放不及时清运扣2分/处。</w:t>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松土除草</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2、绿地及时除杂草，绿地内不得间种农作物。</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绿地内杂草不及时清除扣2分/次，树穴、绿篱等不及时切边，草坪与树木、绿篱、草花等无明显隔沟扣1分/处，栽种农作物扣5分/处。</w:t>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3、树憂李整修，草坪内树穴与绿篱及时切边，草坪与树木、绿篱、草花应分隔沟。</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3</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浇水排水</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4、根据实际，对绿化树木及草坪及时进行抗早浇水、喷水，确保正常生长。</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未及时浇水、喷水，致使树木、草坪生长不良的扣1分/处，致植物枯死的加倍扣分;雨后绿地草坪有积水，扣1分/处。</w:t>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5、绿地内确保雨后积水及时排除，坑坑洼洼必须及时填平。</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1620"/>
        </w:trPr>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技术工作（60分）</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4</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施肥</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6、绿地、草坪、植物根据实际做到及时施肥，施肥方法适当，操作规范，用量合理，不产生肥害，施肥及时覆盖。</w:t>
            </w:r>
            <w:r>
              <w:rPr>
                <w:rFonts w:hint="eastAsia" w:ascii="宋体" w:hAnsi="宋体" w:cs="宋体"/>
                <w:sz w:val="22"/>
                <w:lang w:bidi="ar"/>
              </w:rPr>
              <w:br/>
              <w:t xml:space="preserve">以农技农机站绿化技术员现场查勘为主。</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不按规定及时施肥(以农技农机站人员现场签证为准)，扣1分/次；不及时覆盖，发现一处扣分，发生肥害，扣1分/处。</w:t>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5</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绿化长势</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7、绿地内树木无死株、断枝及明显枯枝，乔木成活率 98%以上，灌木色块草坪基本无空缺。</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绿化因管护不当造成乔灌木草坪成片死亡的，扣5 分/次；绿地内发现有死树枯枝未及时清除的扣2分/处；含绿化补缺标段对死亡空缺不主动按要求及时进行补缺的扣5分/次；正常情况下发现绿地内有树木倒伏的，扣1分/处；大风暴雨等自然灾害发生时，不及时对绿化进行抢险的，扣2分/次；对布置的临时性突击工作完成不力，扣2分/次。</w:t>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8、绿地内特殊原因造成乔灌木有缺株现象,应及时补缺，少数树种因季节不能及时补科除外。</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162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9、树木无倾斜、倒歪现象，高大乔木应采取防倒有效措施，因台风等灾害天气造成树木倒伏时，应及时扶正支撑倒伏树木，并及时完成110联动、环境整治、抢险等临时性突击工作。</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10、草坪应长势良好，无黄化及明显杂草未拔除迹象，草坪无空缺，如有空缺应及时重播或重铺。</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6</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病虫防治</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11、发现病虫害应主动汇报。按规定使用农药，科学防治。</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20</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出现重点病虫危害证状，扣5分/次，造成严重危害的，扣8分/</w:t>
            </w:r>
            <w:r>
              <w:rPr>
                <w:rFonts w:hint="eastAsia" w:ascii="宋体" w:hAnsi="宋体" w:cs="宋体"/>
                <w:sz w:val="22"/>
                <w:lang w:bidi="ar"/>
              </w:rPr>
              <w:t xml:space="preserve">次，造成一定范围植株死亡的扣 12 分/次；防治不及时诱发社会矛盾及居民投拆的，扣5分/次:使用违禁农药的不得分。冬季不按规定要求对树木进行涂白的，扣5分。</w:t>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12、冬季按规定对树木进行涂白，及时清理消灭越冬虫蛹、虫茧及有关病原体。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108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7</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整枝修剪</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13、树木修剪规范整齐，定枝、整枝合理均匀:色块、绿篱短期修剪，不脱脚，不缺损，三面整齐平整，球类修剪圆整。</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15</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乔灌木、色块不适时修剪，扣2分/次;修剪质量达不到要求的,扣0.5 分/次；草坪不及时修剪扣1分/处；修剪面不平，边角有遗留，扣1分处；修剪后色斑明显，扣0.5分/处。</w:t>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14、草坪要适时进行修剪，保持一定高度，修剪面平整，边角无遗留，草屑及时扫尽运出。</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组织管理（10分）</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8</w:t>
            </w:r>
            <w:r/>
          </w:p>
        </w:tc>
        <w:tc>
          <w:tcPr>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其他</w:t>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15、管护组织制度全，工作有台帐，记录全面并及时上报。</w:t>
            </w:r>
            <w:r/>
          </w:p>
        </w:tc>
        <w:tc>
          <w:tcPr>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widowControl/>
              <w:rPr>
                <w:rFonts w:hint="eastAsia" w:ascii="宋体" w:hAnsi="宋体" w:cs="宋体"/>
                <w:sz w:val="22"/>
              </w:rPr>
            </w:pPr>
            <w:r>
              <w:rPr>
                <w:rFonts w:hint="eastAsia" w:ascii="宋体" w:hAnsi="宋体" w:cs="宋体"/>
                <w:sz w:val="22"/>
                <w:lang w:bidi="ar"/>
              </w:rPr>
              <w:t xml:space="preserve">10</w:t>
            </w:r>
            <w:r/>
          </w:p>
        </w:tc>
        <w:tc>
          <w:tcPr>
            <w:tcBorders>
              <w:top w:val="single" w:color="000000" w:sz="4" w:space="0"/>
              <w:left w:val="single" w:color="000000" w:sz="4" w:space="0"/>
              <w:bottom w:val="single" w:color="000000" w:sz="4" w:space="0"/>
              <w:right w:val="single" w:color="000000" w:sz="4" w:space="0"/>
            </w:tcBorders>
            <w:tcW w:w="555" w:type="dxa"/>
            <w:vAlign w:val="center"/>
            <w:vMerge w:val="restart"/>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管护小结记录不及时，上报少不全，每次扣0.5分；无管护台帐，不得分。无养护计划、现场管理乱，发现一次扣1分，管护员不按要求安全作业，不得分，迟到一次扣0.5分;无故缺席一次扣1分；无故替开会一次扣0.5分，养护管理责任人经常变更不明确，扣1分;通讯不畅有一次扣1分；有转包现象不得分；提出问题，反映情况属实，有一次扣1分。</w:t>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16、严格按安全生产操作规程组织作业，养护管理规范。</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81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17、养护负责人按责任部门要求，准时参加会议紺堖这活动及各类业务培训。</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18、养护承包绿地无转包现象，发现破坏绿化现象能及时汇报。</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r>
        <w:trPr>
          <w:trHeight w:val="540"/>
        </w:trPr>
        <w:tc>
          <w:tcPr>
            <w:tcBorders>
              <w:top w:val="single" w:color="000000" w:sz="4" w:space="0"/>
              <w:left w:val="single" w:color="000000" w:sz="4" w:space="0"/>
              <w:bottom w:val="single" w:color="000000" w:sz="4" w:space="0"/>
              <w:right w:val="single" w:color="000000" w:sz="4" w:space="0"/>
            </w:tcBorders>
            <w:tcW w:w="103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2714" w:type="dxa"/>
            <w:vAlign w:val="center"/>
            <w:textDirection w:val="lrTb"/>
            <w:noWrap w:val="false"/>
          </w:tcPr>
          <w:p>
            <w:pPr>
              <w:jc w:val="left"/>
              <w:widowControl/>
              <w:rPr>
                <w:rFonts w:hint="eastAsia" w:ascii="宋体" w:hAnsi="宋体" w:cs="宋体"/>
                <w:sz w:val="22"/>
              </w:rPr>
            </w:pPr>
            <w:r>
              <w:rPr>
                <w:rFonts w:hint="eastAsia" w:ascii="宋体" w:hAnsi="宋体" w:cs="宋体"/>
                <w:sz w:val="22"/>
                <w:lang w:bidi="ar"/>
              </w:rPr>
              <w:t xml:space="preserve">19、上级领导及相关部门、社区、居民反映管护存在问题。</w:t>
            </w:r>
            <w:r/>
          </w:p>
        </w:tc>
        <w:tc>
          <w:tcPr>
            <w:tcBorders>
              <w:top w:val="single" w:color="000000" w:sz="4" w:space="0"/>
              <w:left w:val="single" w:color="000000" w:sz="4" w:space="0"/>
              <w:bottom w:val="single" w:color="000000" w:sz="4" w:space="0"/>
              <w:right w:val="single" w:color="000000" w:sz="4" w:space="0"/>
            </w:tcBorders>
            <w:tcW w:w="67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tcBorders>
              <w:top w:val="single" w:color="000000" w:sz="4" w:space="0"/>
              <w:left w:val="single" w:color="000000" w:sz="4" w:space="0"/>
              <w:bottom w:val="single" w:color="000000" w:sz="4" w:space="0"/>
              <w:right w:val="single" w:color="000000" w:sz="4" w:space="0"/>
            </w:tcBorders>
            <w:tcW w:w="555" w:type="dxa"/>
            <w:vAlign w:val="center"/>
            <w:vMerge w:val="continue"/>
            <w:textDirection w:val="lrTb"/>
            <w:noWrap w:val="false"/>
          </w:tcPr>
          <w:p>
            <w:pPr>
              <w:jc w:val="center"/>
              <w:rPr>
                <w:rFonts w:hint="eastAsia" w:ascii="宋体" w:hAnsi="宋体" w:cs="宋体"/>
                <w:sz w:val="22"/>
              </w:rPr>
            </w:pPr>
            <w:r>
              <w:rPr>
                <w:rFonts w:hint="eastAsia" w:ascii="宋体" w:hAnsi="宋体" w:cs="宋体"/>
                <w:sz w:val="22"/>
              </w:rPr>
            </w:r>
            <w:r/>
          </w:p>
        </w:tc>
        <w:tc>
          <w:tcPr>
            <w:gridSpan w:val="2"/>
            <w:tcBorders>
              <w:top w:val="single" w:color="000000" w:sz="4" w:space="0"/>
              <w:left w:val="single" w:color="000000" w:sz="4" w:space="0"/>
              <w:bottom w:val="single" w:color="000000" w:sz="4" w:space="0"/>
              <w:right w:val="single" w:color="000000" w:sz="4" w:space="0"/>
            </w:tcBorders>
            <w:tcW w:w="2525" w:type="dxa"/>
            <w:vAlign w:val="center"/>
            <w:vMerge w:val="continue"/>
            <w:textDirection w:val="lrTb"/>
            <w:noWrap w:val="false"/>
          </w:tcPr>
          <w:p>
            <w:pPr>
              <w:jc w:val="left"/>
              <w:rPr>
                <w:rFonts w:hint="eastAsia" w:ascii="宋体" w:hAnsi="宋体" w:cs="宋体"/>
                <w:sz w:val="22"/>
              </w:rPr>
            </w:pPr>
            <w:r>
              <w:rPr>
                <w:rFonts w:hint="eastAsia" w:ascii="宋体" w:hAnsi="宋体" w:cs="宋体"/>
                <w:sz w:val="22"/>
              </w:rPr>
            </w:r>
            <w:r/>
          </w:p>
        </w:tc>
      </w:tr>
    </w:tbl>
    <w:p>
      <w:r/>
      <w:r/>
    </w:p>
    <w:p>
      <w:pPr>
        <w:pStyle w:val="1020"/>
        <w:jc w:val="both"/>
        <w:keepLines/>
        <w:keepNext/>
        <w:spacing w:line="240" w:lineRule="auto"/>
        <w:rPr>
          <w:sz w:val="28"/>
          <w:szCs w:val="28"/>
        </w:rPr>
      </w:pPr>
      <w:r>
        <w:rPr>
          <w:rFonts w:hint="eastAsia"/>
          <w:sz w:val="28"/>
          <w:szCs w:val="28"/>
        </w:rPr>
        <w:t xml:space="preserve">八、环卫作业人员劳动用品配备标准及发放要求</w:t>
      </w:r>
      <w:r/>
    </w:p>
    <w:p>
      <w:pPr>
        <w:ind w:firstLine="420"/>
        <w:jc w:val="left"/>
        <w:spacing w:line="440" w:lineRule="exact"/>
        <w:widowControl/>
        <w:rPr>
          <w:rFonts w:hint="eastAsia" w:ascii="宋体" w:hAnsi="宋体"/>
        </w:rPr>
      </w:pPr>
      <w:r>
        <w:rPr>
          <w:rFonts w:hint="eastAsia" w:ascii="宋体" w:hAnsi="宋体"/>
        </w:rPr>
        <w:t xml:space="preserve">1、发放范围：从事一线作业的环卫工人。</w:t>
      </w:r>
      <w:r/>
    </w:p>
    <w:p>
      <w:pPr>
        <w:ind w:firstLine="420"/>
        <w:jc w:val="left"/>
        <w:spacing w:line="440" w:lineRule="exact"/>
        <w:widowControl/>
        <w:rPr>
          <w:rFonts w:hint="eastAsia" w:ascii="宋体" w:hAnsi="宋体"/>
        </w:rPr>
      </w:pPr>
      <w:r>
        <w:rPr>
          <w:rFonts w:hint="eastAsia" w:ascii="宋体" w:hAnsi="宋体"/>
        </w:rPr>
        <w:t xml:space="preserve">2、发放物品：根据日常劳动需要，按时发放普通防护服、普通工作帽、普通工作鞋、防寒服、雨衣、胶鞋等日常劳动保护用品。</w:t>
      </w:r>
      <w:r/>
    </w:p>
    <w:p>
      <w:pPr>
        <w:ind w:firstLine="420"/>
        <w:jc w:val="left"/>
        <w:spacing w:line="440" w:lineRule="exact"/>
        <w:widowControl/>
        <w:rPr>
          <w:rFonts w:hint="eastAsia" w:ascii="宋体" w:hAnsi="宋体"/>
        </w:rPr>
      </w:pPr>
      <w:r>
        <w:rPr>
          <w:rFonts w:hint="eastAsia" w:ascii="宋体" w:hAnsi="宋体"/>
        </w:rPr>
        <w:t xml:space="preserve">3、发放要求</w:t>
      </w:r>
      <w:r/>
    </w:p>
    <w:p>
      <w:pPr>
        <w:ind w:firstLine="420"/>
        <w:jc w:val="left"/>
        <w:spacing w:line="440" w:lineRule="exact"/>
        <w:widowControl/>
        <w:rPr>
          <w:rFonts w:hint="eastAsia" w:ascii="宋体" w:hAnsi="宋体"/>
        </w:rPr>
      </w:pPr>
      <w:r>
        <w:rPr>
          <w:rFonts w:hint="eastAsia" w:ascii="宋体" w:hAnsi="宋体"/>
        </w:rPr>
        <w:t xml:space="preserve">（1）中标人须承担200元/年·人的专款按时发放劳护用品；</w:t>
      </w:r>
      <w:r/>
    </w:p>
    <w:p>
      <w:pPr>
        <w:ind w:firstLine="420"/>
        <w:jc w:val="left"/>
        <w:spacing w:line="440" w:lineRule="exact"/>
        <w:widowControl/>
        <w:rPr>
          <w:rFonts w:hint="eastAsia" w:ascii="宋体" w:hAnsi="宋体"/>
        </w:rPr>
      </w:pPr>
      <w:r>
        <w:rPr>
          <w:rFonts w:hint="eastAsia" w:ascii="宋体" w:hAnsi="宋体"/>
        </w:rPr>
        <w:t xml:space="preserve">（2）劳护用品必须以实物形式发放，不得将之纳入环卫工人现有工资额度；</w:t>
      </w:r>
      <w:r/>
    </w:p>
    <w:p>
      <w:pPr>
        <w:ind w:firstLine="420"/>
        <w:jc w:val="left"/>
        <w:spacing w:line="440" w:lineRule="exact"/>
        <w:widowControl/>
        <w:rPr>
          <w:rFonts w:hint="eastAsia" w:ascii="宋体" w:hAnsi="宋体"/>
        </w:rPr>
      </w:pPr>
      <w:r>
        <w:rPr>
          <w:rFonts w:hint="eastAsia" w:ascii="宋体" w:hAnsi="宋体"/>
        </w:rPr>
        <w:t xml:space="preserve">（3）加强对劳护用品发放工作的监管，建立、健全必要的发放、保管、使用、回收/以旧换新等制度；</w:t>
      </w:r>
      <w:r/>
    </w:p>
    <w:p>
      <w:pPr>
        <w:ind w:firstLine="420"/>
        <w:jc w:val="left"/>
        <w:spacing w:line="440" w:lineRule="exact"/>
        <w:widowControl/>
        <w:rPr>
          <w:rFonts w:hint="eastAsia" w:ascii="宋体" w:hAnsi="宋体"/>
        </w:rPr>
      </w:pPr>
      <w:r>
        <w:rPr>
          <w:rFonts w:hint="eastAsia" w:ascii="宋体" w:hAnsi="宋体"/>
        </w:rPr>
        <w:t xml:space="preserve">（4）提高环卫工人爱惜劳护用品、勤俭节约的意识，避免造成劳护用品的浪费。</w:t>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bookmarkEnd w:id="517"/>
      <w:r/>
      <w:r/>
    </w:p>
    <w:p>
      <w:pPr>
        <w:ind w:firstLine="482"/>
        <w:spacing w:line="360" w:lineRule="auto"/>
        <w:rPr>
          <w:rFonts w:hint="eastAsia" w:asciiTheme="minorEastAsia" w:hAnsiTheme="minorEastAsia"/>
          <w:b/>
          <w:sz w:val="24"/>
          <w:szCs w:val="24"/>
        </w:rPr>
      </w:pPr>
      <w:r>
        <w:rPr>
          <w:rFonts w:hint="eastAsia" w:asciiTheme="minorEastAsia" w:hAnsiTheme="minorEastAsia"/>
          <w:b/>
          <w:sz w:val="24"/>
          <w:szCs w:val="24"/>
        </w:rPr>
      </w:r>
      <w:r/>
    </w:p>
    <w:p>
      <w:pPr>
        <w:pStyle w:val="1026"/>
        <w:rPr>
          <w:rFonts w:hint="eastAsia" w:asciiTheme="minorEastAsia" w:hAnsiTheme="minorEastAsia"/>
          <w:bCs/>
          <w:sz w:val="24"/>
          <w:szCs w:val="24"/>
        </w:rPr>
        <w:sectPr>
          <w:footerReference w:type="default" r:id="rId14"/>
          <w:footnotePr/>
          <w:endnotePr/>
          <w:type w:val="nextPage"/>
          <w:pgSz w:w="11906" w:h="16838" w:orient="portrait"/>
          <w:pgMar w:top="1440" w:right="1800" w:bottom="1440" w:left="1800" w:header="851" w:footer="992" w:gutter="0"/>
          <w:cols w:num="1" w:sep="0" w:space="720" w:equalWidth="1"/>
          <w:docGrid w:linePitch="360"/>
        </w:sectPr>
      </w:pPr>
      <w:r>
        <w:rPr>
          <w:rFonts w:hint="eastAsia" w:asciiTheme="minorEastAsia" w:hAnsiTheme="minorEastAsia"/>
          <w:bCs/>
          <w:sz w:val="24"/>
          <w:szCs w:val="24"/>
        </w:rPr>
      </w:r>
      <w:r/>
    </w:p>
    <w:p>
      <w:pPr>
        <w:pStyle w:val="1020"/>
        <w:ind w:left="343" w:hanging="343"/>
        <w:rPr>
          <w:rFonts w:hint="eastAsia" w:ascii="宋体" w:hAnsi="宋体" w:cs="宋体"/>
        </w:rPr>
      </w:pPr>
      <w:r/>
      <w:bookmarkStart w:id="518" w:name="_Toc18239"/>
      <w:r/>
      <w:bookmarkStart w:id="519" w:name="_Toc28604"/>
      <w:r/>
      <w:bookmarkStart w:id="520" w:name="_Toc16062"/>
      <w:r>
        <w:rPr>
          <w:rFonts w:hint="eastAsia" w:ascii="宋体" w:hAnsi="宋体" w:cs="宋体"/>
        </w:rPr>
        <w:t xml:space="preserve">第六章 拟签订的合同文本</w:t>
      </w:r>
      <w:bookmarkEnd w:id="513"/>
      <w:r/>
      <w:bookmarkEnd w:id="518"/>
      <w:r/>
      <w:bookmarkEnd w:id="519"/>
      <w:r/>
      <w:bookmarkEnd w:id="520"/>
      <w:r>
        <w:rPr>
          <w:rFonts w:hint="eastAsia" w:ascii="仿宋" w:hAnsi="仿宋" w:eastAsia="仿宋"/>
          <w:sz w:val="30"/>
          <w:szCs w:val="30"/>
        </w:rPr>
        <w:t xml:space="preserve"> </w:t>
      </w:r>
      <w:r/>
    </w:p>
    <w:p>
      <w:pPr>
        <w:spacing w:line="360" w:lineRule="auto"/>
        <w:tabs>
          <w:tab w:val="left" w:pos="900" w:leader="none"/>
          <w:tab w:val="left" w:pos="1080" w:leader="none"/>
        </w:tabs>
        <w:rPr>
          <w:sz w:val="18"/>
          <w:szCs w:val="18"/>
        </w:rPr>
      </w:pPr>
      <w:r>
        <w:rPr>
          <w:sz w:val="18"/>
          <w:szCs w:val="18"/>
        </w:rPr>
      </w:r>
      <w:r/>
    </w:p>
    <w:p>
      <w:pPr>
        <w:ind w:firstLine="420"/>
        <w:spacing w:line="560" w:lineRule="exact"/>
        <w:widowControl/>
        <w:rPr>
          <w:rFonts w:hint="eastAsia" w:ascii="宋体" w:hAnsi="宋体" w:cs="宋体"/>
          <w:szCs w:val="21"/>
        </w:rPr>
      </w:pPr>
      <w:r>
        <w:rPr>
          <w:rFonts w:hint="eastAsia" w:ascii="宋体" w:hAnsi="宋体" w:cs="宋体"/>
          <w:szCs w:val="21"/>
        </w:rPr>
        <w:t xml:space="preserve">甲方：</w:t>
      </w:r>
      <w:r/>
    </w:p>
    <w:p>
      <w:pPr>
        <w:ind w:firstLine="420"/>
        <w:spacing w:line="560" w:lineRule="exact"/>
        <w:widowControl/>
        <w:rPr>
          <w:rFonts w:hint="eastAsia" w:ascii="宋体" w:hAnsi="宋体" w:cs="宋体"/>
          <w:szCs w:val="21"/>
        </w:rPr>
      </w:pPr>
      <w:r>
        <w:rPr>
          <w:rFonts w:hint="eastAsia" w:ascii="宋体" w:hAnsi="宋体" w:cs="宋体"/>
          <w:szCs w:val="21"/>
        </w:rPr>
        <w:t xml:space="preserve">乙方：</w:t>
      </w:r>
      <w:r/>
    </w:p>
    <w:p>
      <w:pPr>
        <w:ind w:firstLine="420"/>
        <w:spacing w:line="360" w:lineRule="auto"/>
        <w:widowControl/>
        <w:rPr>
          <w:rFonts w:hint="eastAsia" w:ascii="宋体" w:hAnsi="宋体" w:cs="宋体"/>
          <w:szCs w:val="21"/>
        </w:rPr>
      </w:pPr>
      <w:r>
        <w:rPr>
          <w:rFonts w:hint="eastAsia" w:ascii="宋体" w:hAnsi="宋体" w:cs="宋体"/>
          <w:szCs w:val="21"/>
        </w:rPr>
        <w:t xml:space="preserve">依照《中华人民共和国民法典》及其他有关法律、行政法规，遵循平等、自愿、公平和诚实信用的原则，双方共同达成并订立如下协议。</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一 、合同作业时间</w:t>
      </w:r>
      <w:r/>
    </w:p>
    <w:p>
      <w:pPr>
        <w:ind w:firstLine="420"/>
        <w:spacing w:line="360" w:lineRule="auto"/>
        <w:widowControl/>
        <w:rPr>
          <w:rFonts w:hint="eastAsia" w:ascii="宋体" w:hAnsi="宋体" w:cs="宋体"/>
          <w:szCs w:val="21"/>
        </w:rPr>
      </w:pPr>
      <w:r>
        <w:rPr>
          <w:rFonts w:hint="eastAsia" w:ascii="宋体" w:hAnsi="宋体" w:cs="宋体"/>
          <w:szCs w:val="21"/>
        </w:rPr>
        <w:t xml:space="preserve">本合同作业期限为  年，自  至  止。</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二、作业区域及面积</w:t>
      </w:r>
      <w:r/>
    </w:p>
    <w:p>
      <w:pPr>
        <w:ind w:firstLine="420"/>
        <w:spacing w:line="360" w:lineRule="auto"/>
        <w:widowControl/>
        <w:rPr>
          <w:rFonts w:hint="eastAsia" w:ascii="宋体" w:hAnsi="宋体" w:cs="宋体"/>
          <w:szCs w:val="21"/>
        </w:rPr>
      </w:pPr>
      <w:r>
        <w:rPr>
          <w:rFonts w:hint="eastAsia" w:ascii="宋体" w:hAnsi="宋体" w:cs="宋体"/>
          <w:szCs w:val="21"/>
        </w:rPr>
        <w:t xml:space="preserve">作业区域及面积：。 </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三、作业费用与付款方式</w:t>
      </w:r>
      <w:r/>
    </w:p>
    <w:p>
      <w:pPr>
        <w:ind w:firstLine="420"/>
        <w:spacing w:line="360" w:lineRule="auto"/>
        <w:widowControl/>
        <w:rPr>
          <w:rFonts w:hint="eastAsia" w:ascii="宋体" w:hAnsi="宋体" w:cs="宋体"/>
          <w:szCs w:val="21"/>
        </w:rPr>
      </w:pPr>
      <w:r>
        <w:rPr>
          <w:rFonts w:hint="eastAsia" w:ascii="宋体" w:hAnsi="宋体" w:cs="宋体"/>
          <w:szCs w:val="21"/>
        </w:rPr>
        <w:t xml:space="preserve">                                                   </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四 、双方项目经理/现场负责人：</w:t>
      </w:r>
      <w:r/>
    </w:p>
    <w:p>
      <w:pPr>
        <w:ind w:firstLine="420"/>
        <w:spacing w:line="360" w:lineRule="auto"/>
        <w:widowControl/>
        <w:rPr>
          <w:rFonts w:hint="eastAsia" w:ascii="宋体" w:hAnsi="宋体" w:cs="宋体"/>
          <w:szCs w:val="21"/>
        </w:rPr>
      </w:pPr>
      <w:r>
        <w:rPr>
          <w:rFonts w:hint="eastAsia" w:ascii="宋体" w:hAnsi="宋体" w:cs="宋体"/>
          <w:szCs w:val="21"/>
        </w:rPr>
        <w:t xml:space="preserve">甲方：姓名：    ；身份证号：  </w:t>
      </w:r>
      <w:r/>
    </w:p>
    <w:p>
      <w:pPr>
        <w:ind w:firstLine="420"/>
        <w:spacing w:line="360" w:lineRule="auto"/>
        <w:widowControl/>
        <w:rPr>
          <w:rFonts w:hint="eastAsia" w:ascii="宋体" w:hAnsi="宋体" w:cs="宋体"/>
          <w:szCs w:val="21"/>
        </w:rPr>
      </w:pPr>
      <w:r>
        <w:rPr>
          <w:rFonts w:hint="eastAsia" w:ascii="宋体" w:hAnsi="宋体" w:cs="宋体"/>
          <w:szCs w:val="21"/>
        </w:rPr>
        <w:t xml:space="preserve">上述人员联系方式：</w:t>
      </w:r>
      <w:r/>
    </w:p>
    <w:p>
      <w:pPr>
        <w:ind w:firstLine="420"/>
        <w:spacing w:line="360" w:lineRule="auto"/>
        <w:widowControl/>
        <w:rPr>
          <w:rFonts w:hint="eastAsia" w:ascii="宋体" w:hAnsi="宋体" w:cs="宋体"/>
          <w:szCs w:val="21"/>
        </w:rPr>
      </w:pPr>
      <w:r>
        <w:rPr>
          <w:rFonts w:hint="eastAsia" w:ascii="宋体" w:hAnsi="宋体" w:cs="宋体"/>
          <w:szCs w:val="21"/>
        </w:rPr>
        <w:t xml:space="preserve">乙方：环卫项目经理/现场负责人姓名： ；身份证号：</w:t>
      </w:r>
      <w:r/>
    </w:p>
    <w:p>
      <w:pPr>
        <w:ind w:firstLine="420"/>
        <w:spacing w:line="360" w:lineRule="auto"/>
        <w:widowControl/>
        <w:rPr>
          <w:rFonts w:hint="eastAsia" w:ascii="宋体" w:hAnsi="宋体" w:cs="宋体"/>
          <w:szCs w:val="21"/>
        </w:rPr>
      </w:pPr>
      <w:r>
        <w:rPr>
          <w:rFonts w:hint="eastAsia" w:ascii="宋体" w:hAnsi="宋体" w:cs="宋体"/>
          <w:szCs w:val="21"/>
        </w:rPr>
        <w:t xml:space="preserve">上述人员联系方式：</w:t>
      </w:r>
      <w:r/>
    </w:p>
    <w:p>
      <w:pPr>
        <w:ind w:firstLine="420"/>
        <w:spacing w:line="360" w:lineRule="auto"/>
        <w:widowControl/>
        <w:rPr>
          <w:rFonts w:hint="eastAsia" w:ascii="宋体" w:hAnsi="宋体" w:cs="宋体"/>
          <w:szCs w:val="21"/>
        </w:rPr>
      </w:pPr>
      <w:r>
        <w:rPr>
          <w:rFonts w:hint="eastAsia" w:ascii="宋体" w:hAnsi="宋体" w:cs="宋体"/>
          <w:szCs w:val="21"/>
        </w:rPr>
        <w:t xml:space="preserve">      绿化项目经理/现场负责人姓名： ；身份证号：</w:t>
      </w:r>
      <w:r/>
    </w:p>
    <w:p>
      <w:pPr>
        <w:ind w:firstLine="420"/>
        <w:spacing w:line="360" w:lineRule="auto"/>
        <w:widowControl/>
        <w:rPr>
          <w:rFonts w:hint="eastAsia" w:ascii="宋体" w:hAnsi="宋体" w:cs="宋体"/>
          <w:szCs w:val="21"/>
        </w:rPr>
      </w:pPr>
      <w:r>
        <w:rPr>
          <w:rFonts w:hint="eastAsia" w:ascii="宋体" w:hAnsi="宋体" w:cs="宋体"/>
          <w:szCs w:val="21"/>
        </w:rPr>
        <w:t xml:space="preserve">上述人员联系方式：</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五、作业需配备环卫机械种类及数量</w:t>
      </w:r>
      <w:r/>
    </w:p>
    <w:p>
      <w:pPr>
        <w:ind w:firstLine="420"/>
        <w:spacing w:line="360" w:lineRule="auto"/>
        <w:widowControl/>
        <w:rPr>
          <w:rFonts w:hint="eastAsia" w:ascii="宋体" w:hAnsi="宋体" w:cs="宋体"/>
          <w:szCs w:val="21"/>
        </w:rPr>
      </w:pPr>
      <w:r>
        <w:rPr>
          <w:rFonts w:hint="eastAsia" w:ascii="宋体" w:hAnsi="宋体" w:cs="宋体"/>
          <w:szCs w:val="21"/>
        </w:rPr>
        <w:t xml:space="preserve">甲方根据道路数量及作业面积按《常州市提高市区道路环卫机械化 作业覆盖率工作实施方案》常政办发[2014]170号文文件要求测算，乙 方根据甲方的实际需求配备不少于以下类型数量的机械：...。</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六、作业管理办法</w:t>
      </w:r>
      <w:r/>
    </w:p>
    <w:p>
      <w:pPr>
        <w:ind w:firstLine="420"/>
        <w:spacing w:line="360" w:lineRule="auto"/>
        <w:widowControl/>
        <w:rPr>
          <w:rFonts w:hint="eastAsia" w:ascii="宋体" w:hAnsi="宋体" w:cs="宋体"/>
          <w:szCs w:val="21"/>
        </w:rPr>
      </w:pPr>
      <w:r>
        <w:rPr>
          <w:rFonts w:hint="eastAsia" w:ascii="宋体" w:hAnsi="宋体" w:cs="宋体"/>
          <w:szCs w:val="21"/>
        </w:rPr>
        <w:t xml:space="preserve">根据甲方的要求，所有依法选定的在新北区范围内从事环卫作业工作的单位必须自签订作业合 同起一个月之内携带相关资料到区城管局环管中心进行作业备案、登 记，接受区城管局环管中心的环卫行业监管。</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七 、环卫作业内容</w:t>
      </w:r>
      <w:r/>
    </w:p>
    <w:p>
      <w:pPr>
        <w:ind w:firstLine="420"/>
        <w:spacing w:line="360" w:lineRule="auto"/>
        <w:widowControl/>
        <w:rPr>
          <w:rFonts w:hint="eastAsia" w:ascii="宋体" w:hAnsi="宋体" w:cs="宋体"/>
          <w:szCs w:val="21"/>
        </w:rPr>
      </w:pPr>
      <w:r>
        <w:rPr>
          <w:rFonts w:hint="eastAsia" w:ascii="宋体" w:hAnsi="宋体" w:cs="宋体"/>
          <w:szCs w:val="21"/>
        </w:rPr>
        <w:t xml:space="preserve">1、根据道路清扫保洁和作业质量要求，按照常州市道路清扫保洁 一体化的标准，对道路快、慢车道和人行道进行清扫、清洗、保洁；对 依附于道路的绿化带进行保洁(仅限于绿化带内生活垃圾的清理),每 周对道路沿线绿化带进行全面专项清理作业。</w:t>
      </w:r>
      <w:r/>
    </w:p>
    <w:p>
      <w:pPr>
        <w:ind w:firstLine="420"/>
        <w:spacing w:line="360" w:lineRule="auto"/>
        <w:widowControl/>
        <w:rPr>
          <w:rFonts w:hint="eastAsia" w:ascii="宋体" w:hAnsi="宋体" w:cs="宋体"/>
          <w:szCs w:val="21"/>
        </w:rPr>
      </w:pPr>
      <w:r>
        <w:rPr>
          <w:rFonts w:hint="eastAsia" w:ascii="宋体" w:hAnsi="宋体" w:cs="宋体"/>
          <w:szCs w:val="21"/>
        </w:rPr>
        <w:t xml:space="preserve">2、按新北区环管中心划定的道路等级，对委托范围内的道路按标 准进行日常机械化洒水、冲洗、清洗等作业。</w:t>
      </w:r>
      <w:r/>
    </w:p>
    <w:p>
      <w:pPr>
        <w:ind w:firstLine="420"/>
        <w:spacing w:line="360" w:lineRule="auto"/>
        <w:widowControl/>
        <w:rPr>
          <w:rFonts w:hint="eastAsia" w:ascii="宋体" w:hAnsi="宋体" w:cs="宋体"/>
          <w:szCs w:val="21"/>
        </w:rPr>
      </w:pPr>
      <w:r>
        <w:rPr>
          <w:rFonts w:hint="eastAsia" w:ascii="宋体" w:hAnsi="宋体" w:cs="宋体"/>
          <w:szCs w:val="21"/>
        </w:rPr>
        <w:t xml:space="preserve">3、按照常城管【2022】40号关于印发《常州市城市道路临街果壳 箱规范设置工作方案》的通知规定，负责镇区、道路两侧垃圾箱(房)、 果壳箱、转运箱和无主生活垃圾的及时清理及五兴苑小区的生活垃圾清运 。</w:t>
      </w:r>
      <w:r/>
    </w:p>
    <w:p>
      <w:pPr>
        <w:ind w:firstLine="420"/>
        <w:spacing w:line="360" w:lineRule="auto"/>
        <w:widowControl/>
        <w:rPr>
          <w:rFonts w:hint="eastAsia" w:ascii="宋体" w:hAnsi="宋体" w:cs="宋体"/>
          <w:szCs w:val="21"/>
        </w:rPr>
      </w:pPr>
      <w:r>
        <w:rPr>
          <w:rFonts w:hint="eastAsia" w:ascii="宋体" w:hAnsi="宋体" w:cs="宋体"/>
          <w:szCs w:val="21"/>
        </w:rPr>
        <w:t xml:space="preserve">4、全镇区范围内垃圾箱(房)、果壳箱、转运箱、公厕、中转站、 压缩站等管理运营设备设施保养、维修正常损耗更换。因政策调整或其 他原因需要大批量更新配置时甲乙双方协商执行。</w:t>
      </w:r>
      <w:r/>
    </w:p>
    <w:p>
      <w:pPr>
        <w:ind w:firstLine="420"/>
        <w:spacing w:line="360" w:lineRule="auto"/>
        <w:widowControl/>
        <w:rPr>
          <w:rFonts w:hint="eastAsia" w:ascii="宋体" w:hAnsi="宋体" w:cs="宋体"/>
          <w:szCs w:val="21"/>
        </w:rPr>
      </w:pPr>
      <w:r>
        <w:rPr>
          <w:rFonts w:hint="eastAsia" w:ascii="宋体" w:hAnsi="宋体" w:cs="宋体"/>
          <w:szCs w:val="21"/>
        </w:rPr>
        <w:t xml:space="preserve">5、遇有重大活动、灾害性雨雪天气等特殊情况，组织员工按照应 急预案和上级部门要求，做好保障工作。</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八、环卫作业时间要求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1、机械化作业时间要求：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市级考评道路按《常州市城市环卫作业服务要求》文件规定执行。 其它区级道路机械化作业时间当日上午11:00前完成。</w:t>
      </w:r>
      <w:r/>
    </w:p>
    <w:p>
      <w:pPr>
        <w:numPr>
          <w:ilvl w:val="0"/>
          <w:numId w:val="11"/>
        </w:numPr>
        <w:ind w:firstLine="420"/>
        <w:spacing w:line="360" w:lineRule="auto"/>
        <w:widowControl/>
        <w:rPr>
          <w:rFonts w:hint="eastAsia" w:ascii="宋体" w:hAnsi="宋体" w:cs="宋体"/>
          <w:szCs w:val="21"/>
        </w:rPr>
      </w:pPr>
      <w:r>
        <w:rPr>
          <w:rFonts w:hint="eastAsia" w:ascii="宋体" w:hAnsi="宋体" w:cs="宋体"/>
          <w:szCs w:val="21"/>
        </w:rPr>
        <w:t xml:space="preserve">环卫人工保洁作业时间要求：</w:t>
      </w:r>
      <w:r/>
    </w:p>
    <w:tbl>
      <w:tblPr>
        <w:tblStyle w:val="1104"/>
        <w:tblW w:w="8585"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80"/>
        <w:gridCol w:w="1801"/>
        <w:gridCol w:w="2747"/>
        <w:gridCol w:w="2457"/>
      </w:tblGrid>
      <w:tr>
        <w:trPr>
          <w:trHeight w:val="494"/>
        </w:trPr>
        <w:tc>
          <w:tcPr>
            <w:tcW w:w="1580" w:type="dxa"/>
            <w:textDirection w:val="lrTb"/>
            <w:noWrap w:val="false"/>
          </w:tcPr>
          <w:p>
            <w:pPr>
              <w:ind w:firstLine="210"/>
              <w:spacing w:line="360" w:lineRule="auto"/>
              <w:widowControl/>
              <w:rPr>
                <w:rFonts w:hint="eastAsia" w:ascii="宋体" w:hAnsi="宋体" w:cs="宋体"/>
                <w:szCs w:val="21"/>
              </w:rPr>
            </w:pPr>
            <w:r>
              <w:rPr>
                <w:rFonts w:hint="eastAsia" w:ascii="宋体" w:hAnsi="宋体" w:cs="宋体"/>
                <w:szCs w:val="21"/>
              </w:rPr>
              <w:t xml:space="preserve">道路等级</w:t>
            </w:r>
            <w:r/>
          </w:p>
        </w:tc>
        <w:tc>
          <w:tcPr>
            <w:tcW w:w="1801" w:type="dxa"/>
            <w:textDirection w:val="lrTb"/>
            <w:noWrap w:val="false"/>
          </w:tcPr>
          <w:p>
            <w:pPr>
              <w:ind w:firstLine="210"/>
              <w:spacing w:line="360" w:lineRule="auto"/>
              <w:widowControl/>
              <w:rPr>
                <w:rFonts w:hint="eastAsia" w:ascii="宋体" w:hAnsi="宋体" w:cs="宋体"/>
                <w:szCs w:val="21"/>
              </w:rPr>
            </w:pPr>
            <w:r>
              <w:rPr>
                <w:rFonts w:hint="eastAsia" w:ascii="宋体" w:hAnsi="宋体" w:cs="宋体"/>
                <w:szCs w:val="21"/>
              </w:rPr>
              <w:t xml:space="preserve">道路分类</w:t>
            </w:r>
            <w:r/>
          </w:p>
        </w:tc>
        <w:tc>
          <w:tcPr>
            <w:tcW w:w="2747" w:type="dxa"/>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t xml:space="preserve">具体作业时间</w:t>
            </w:r>
            <w:r/>
          </w:p>
        </w:tc>
        <w:tc>
          <w:tcPr>
            <w:tcW w:w="2457" w:type="dxa"/>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t xml:space="preserve">作业方式</w:t>
            </w:r>
            <w:r/>
          </w:p>
        </w:tc>
      </w:tr>
      <w:tr>
        <w:trPr>
          <w:trHeight w:val="479"/>
        </w:trPr>
        <w:tc>
          <w:tcPr>
            <w:tcBorders>
              <w:bottom w:val="none" w:color="000000" w:sz="4" w:space="0"/>
            </w:tcBorders>
            <w:tcW w:w="1580" w:type="dxa"/>
            <w:vAlign w:val="center"/>
            <w:vMerge w:val="restart"/>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t xml:space="preserve">镇级</w:t>
            </w:r>
            <w:r/>
          </w:p>
        </w:tc>
        <w:tc>
          <w:tcPr>
            <w:tcBorders>
              <w:bottom w:val="none" w:color="000000" w:sz="4" w:space="0"/>
            </w:tcBorders>
            <w:tcW w:w="1801" w:type="dxa"/>
            <w:vAlign w:val="center"/>
            <w:vMerge w:val="restart"/>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szCs w:val="21"/>
              </w:rPr>
            </w:pPr>
            <w:r>
              <w:rPr>
                <w:rFonts w:hint="eastAsia" w:ascii="宋体" w:hAnsi="宋体" w:cs="宋体"/>
                <w:szCs w:val="21"/>
              </w:rPr>
              <w:t xml:space="preserve">八小时保洁的主、 次干道</w:t>
            </w:r>
            <w:r/>
          </w:p>
        </w:tc>
        <w:tc>
          <w:tcPr>
            <w:tcW w:w="2747" w:type="dxa"/>
            <w:vAlign w:val="center"/>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t xml:space="preserve">早晨7:00- 8:30</w:t>
            </w:r>
            <w:r/>
          </w:p>
        </w:tc>
        <w:tc>
          <w:tcPr>
            <w:tcBorders>
              <w:bottom w:val="none" w:color="000000" w:sz="4" w:space="0"/>
            </w:tcBorders>
            <w:tcW w:w="2457" w:type="dxa"/>
            <w:vAlign w:val="center"/>
            <w:vMerge w:val="restart"/>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全面清扫</w:t>
            </w:r>
            <w:r/>
          </w:p>
        </w:tc>
      </w:tr>
      <w:tr>
        <w:trPr>
          <w:trHeight w:val="479"/>
        </w:trPr>
        <w:tc>
          <w:tcPr>
            <w:tcBorders>
              <w:top w:val="none" w:color="000000" w:sz="4" w:space="0"/>
              <w:bottom w:val="none" w:color="000000" w:sz="4" w:space="0"/>
            </w:tcBorders>
            <w:tcW w:w="1580" w:type="dxa"/>
            <w:vAlign w:val="center"/>
            <w:vMerge w:val="continue"/>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bottom w:val="none" w:color="000000" w:sz="4" w:space="0"/>
            </w:tcBorders>
            <w:tcW w:w="1801" w:type="dxa"/>
            <w:vAlign w:val="center"/>
            <w:vMerge w:val="continue"/>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tc>
        <w:tc>
          <w:tcPr>
            <w:tcW w:w="2747" w:type="dxa"/>
            <w:vAlign w:val="center"/>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tcBorders>
            <w:tcW w:w="2457" w:type="dxa"/>
            <w:vAlign w:val="center"/>
            <w:vMerge w:val="continue"/>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tc>
      </w:tr>
      <w:tr>
        <w:trPr>
          <w:trHeight w:val="958"/>
        </w:trPr>
        <w:tc>
          <w:tcPr>
            <w:tcBorders>
              <w:top w:val="none" w:color="000000" w:sz="4" w:space="0"/>
            </w:tcBorders>
            <w:tcW w:w="1580" w:type="dxa"/>
            <w:vAlign w:val="center"/>
            <w:vMerge w:val="continue"/>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tc>
        <w:tc>
          <w:tcPr>
            <w:tcBorders>
              <w:top w:val="none" w:color="000000" w:sz="4" w:space="0"/>
            </w:tcBorders>
            <w:tcW w:w="1801" w:type="dxa"/>
            <w:vAlign w:val="center"/>
            <w:vMerge w:val="continue"/>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r>
            <w:r/>
          </w:p>
        </w:tc>
        <w:tc>
          <w:tcPr>
            <w:tcW w:w="2747" w:type="dxa"/>
            <w:vAlign w:val="center"/>
            <w:textDirection w:val="lrTb"/>
            <w:noWrap w:val="false"/>
          </w:tcPr>
          <w:p>
            <w:pPr>
              <w:ind w:firstLine="420"/>
              <w:spacing w:line="360" w:lineRule="auto"/>
              <w:widowControl/>
              <w:rPr>
                <w:rFonts w:hint="eastAsia" w:ascii="宋体" w:hAnsi="宋体" w:cs="宋体"/>
                <w:szCs w:val="21"/>
              </w:rPr>
            </w:pPr>
            <w:r>
              <w:rPr>
                <w:rFonts w:hint="eastAsia" w:ascii="宋体" w:hAnsi="宋体" w:cs="宋体"/>
                <w:szCs w:val="21"/>
              </w:rPr>
              <w:t xml:space="preserve">08:30-11:00</w:t>
            </w:r>
            <w:r/>
          </w:p>
          <w:p>
            <w:pPr>
              <w:ind w:firstLine="420"/>
              <w:spacing w:line="360" w:lineRule="auto"/>
              <w:widowControl/>
              <w:rPr>
                <w:rFonts w:hint="eastAsia" w:ascii="宋体" w:hAnsi="宋体" w:cs="宋体"/>
                <w:szCs w:val="21"/>
              </w:rPr>
            </w:pPr>
            <w:r>
              <w:rPr>
                <w:rFonts w:hint="eastAsia" w:ascii="宋体" w:hAnsi="宋体" w:cs="宋体"/>
                <w:szCs w:val="21"/>
              </w:rPr>
              <w:t xml:space="preserve">13:00-17:00</w:t>
            </w:r>
            <w:r/>
          </w:p>
        </w:tc>
        <w:tc>
          <w:tcPr>
            <w:tcW w:w="2457" w:type="dxa"/>
            <w:vAlign w:val="center"/>
            <w:textDirection w:val="lrTb"/>
            <w:noWrap w:val="false"/>
          </w:tcPr>
          <w:p>
            <w:pPr>
              <w:ind w:firstLine="210"/>
              <w:spacing w:line="360" w:lineRule="auto"/>
              <w:widowControl/>
              <w:rPr>
                <w:rFonts w:hint="eastAsia" w:ascii="宋体" w:hAnsi="宋体" w:cs="宋体"/>
                <w:szCs w:val="21"/>
              </w:rPr>
            </w:pPr>
            <w:r>
              <w:rPr>
                <w:rFonts w:hint="eastAsia" w:ascii="宋体" w:hAnsi="宋体" w:cs="宋体"/>
                <w:szCs w:val="21"/>
              </w:rPr>
              <w:t xml:space="preserve">时段内巡回保洁</w:t>
            </w:r>
            <w:r/>
          </w:p>
        </w:tc>
      </w:tr>
      <w:tr>
        <w:trPr>
          <w:trHeight w:val="1382"/>
        </w:trPr>
        <w:tc>
          <w:tcPr>
            <w:gridSpan w:val="4"/>
            <w:tcW w:w="8585" w:type="dxa"/>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说明：1、遇重大检查时作业方式按采购人的要求执行。</w:t>
            </w:r>
            <w:r/>
          </w:p>
          <w:p>
            <w:pPr>
              <w:ind w:firstLine="630"/>
              <w:spacing w:line="360" w:lineRule="auto"/>
              <w:widowControl/>
              <w:rPr>
                <w:rFonts w:hint="eastAsia" w:ascii="宋体" w:hAnsi="宋体" w:cs="宋体"/>
                <w:szCs w:val="21"/>
              </w:rPr>
            </w:pPr>
            <w:r>
              <w:rPr>
                <w:rFonts w:hint="eastAsia" w:ascii="宋体" w:hAnsi="宋体" w:cs="宋体"/>
                <w:szCs w:val="21"/>
              </w:rPr>
              <w:t xml:space="preserve">2、高温作业时间由采购人员另行通知。</w:t>
            </w:r>
            <w:r/>
          </w:p>
          <w:p>
            <w:pPr>
              <w:ind w:firstLine="630"/>
              <w:spacing w:line="360" w:lineRule="auto"/>
              <w:widowControl/>
              <w:rPr>
                <w:rFonts w:hint="eastAsia" w:ascii="宋体" w:hAnsi="宋体" w:cs="宋体"/>
                <w:szCs w:val="21"/>
              </w:rPr>
            </w:pPr>
            <w:r>
              <w:rPr>
                <w:rFonts w:hint="eastAsia" w:ascii="宋体" w:hAnsi="宋体" w:cs="宋体"/>
                <w:szCs w:val="21"/>
              </w:rPr>
              <w:t xml:space="preserve">3、巡回保洁时段内人员作业时不得离岗倾倒或拖运垃圾，否则视为脱岗。</w:t>
            </w:r>
            <w:r/>
          </w:p>
          <w:p>
            <w:pPr>
              <w:ind w:firstLine="630"/>
              <w:spacing w:line="360" w:lineRule="auto"/>
              <w:widowControl/>
              <w:rPr>
                <w:rFonts w:hint="eastAsia" w:ascii="宋体" w:hAnsi="宋体" w:cs="宋体"/>
                <w:szCs w:val="21"/>
              </w:rPr>
            </w:pPr>
            <w:r>
              <w:rPr>
                <w:rFonts w:hint="eastAsia" w:ascii="宋体" w:hAnsi="宋体" w:cs="宋体"/>
                <w:szCs w:val="21"/>
              </w:rPr>
              <w:t xml:space="preserve">4、机械化清扫保洁道路作业，要求每班次一清扫一保洁。</w:t>
            </w:r>
            <w:r/>
          </w:p>
        </w:tc>
      </w:tr>
    </w:tbl>
    <w:p>
      <w:pPr>
        <w:ind w:firstLine="420"/>
        <w:spacing w:line="360" w:lineRule="auto"/>
        <w:widowControl/>
        <w:rPr>
          <w:rFonts w:hint="eastAsia" w:ascii="宋体" w:hAnsi="宋体" w:cs="宋体"/>
          <w:szCs w:val="21"/>
        </w:rPr>
      </w:pPr>
      <w:r>
        <w:rPr>
          <w:rFonts w:hint="eastAsia" w:ascii="宋体" w:hAnsi="宋体" w:cs="宋体"/>
          <w:szCs w:val="21"/>
        </w:rPr>
        <w:t xml:space="preserve">道路作业时间要求详见附件一道路附表</w:t>
      </w:r>
      <w:r/>
    </w:p>
    <w:p>
      <w:pPr>
        <w:ind w:firstLine="420"/>
        <w:spacing w:line="360" w:lineRule="auto"/>
        <w:widowControl/>
        <w:rPr>
          <w:rFonts w:hint="eastAsia" w:ascii="宋体" w:hAnsi="宋体" w:cs="宋体"/>
          <w:szCs w:val="21"/>
        </w:rPr>
      </w:pPr>
      <w:r>
        <w:rPr>
          <w:rFonts w:hint="eastAsia" w:ascii="宋体" w:hAnsi="宋体" w:cs="宋体"/>
          <w:szCs w:val="21"/>
        </w:rPr>
        <w:t xml:space="preserve">3、环卫设施开放时间</w:t>
      </w:r>
      <w:r/>
    </w:p>
    <w:p>
      <w:pPr>
        <w:ind w:firstLine="420"/>
        <w:spacing w:line="360" w:lineRule="auto"/>
        <w:widowControl/>
        <w:rPr>
          <w:rFonts w:hint="eastAsia" w:ascii="宋体" w:hAnsi="宋体" w:cs="宋体"/>
          <w:szCs w:val="21"/>
        </w:rPr>
      </w:pPr>
      <w:r>
        <w:rPr>
          <w:rFonts w:hint="eastAsia" w:ascii="宋体" w:hAnsi="宋体" w:cs="宋体"/>
          <w:szCs w:val="21"/>
        </w:rPr>
        <w:t xml:space="preserve">公厕每日开放时间：公厕每日开放时间：00:00-24:00(保持对公众开放)。</w:t>
      </w:r>
      <w:r/>
    </w:p>
    <w:p>
      <w:pPr>
        <w:ind w:firstLine="420"/>
        <w:spacing w:line="360" w:lineRule="auto"/>
        <w:widowControl/>
        <w:rPr>
          <w:rFonts w:hint="eastAsia" w:ascii="宋体" w:hAnsi="宋体" w:cs="宋体"/>
          <w:szCs w:val="21"/>
        </w:rPr>
      </w:pPr>
      <w:r>
        <w:rPr>
          <w:rFonts w:hint="eastAsia" w:ascii="宋体" w:hAnsi="宋体" w:cs="宋体"/>
          <w:szCs w:val="21"/>
        </w:rPr>
        <w:t xml:space="preserve">压缩站每日开放时间：3:00-10:30，12:30-16:00,采购人有特殊要求的按照采购人要求。</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九、环卫作业质量要求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 按《市政府关于进一步完善常州市城市长效综合管理考核工作 的实施意见》、《常州市城市环卫作业质量考核办法》和《常州市新北 区环境卫生作业考评细则》的相关规定要求执行。</w:t>
      </w:r>
      <w:r/>
    </w:p>
    <w:p>
      <w:pPr>
        <w:ind w:firstLine="420"/>
        <w:spacing w:line="360" w:lineRule="auto"/>
        <w:widowControl/>
        <w:rPr>
          <w:rFonts w:hint="eastAsia" w:ascii="宋体" w:hAnsi="宋体" w:cs="宋体"/>
          <w:szCs w:val="21"/>
        </w:rPr>
      </w:pPr>
      <w:r>
        <w:rPr>
          <w:rFonts w:hint="eastAsia" w:ascii="宋体" w:hAnsi="宋体" w:cs="宋体"/>
          <w:szCs w:val="21"/>
        </w:rPr>
        <w:t xml:space="preserve">2、雾霾天气、大气环保保障按上级部门通知和要求进行作业，作 业费用另行结算。</w:t>
      </w:r>
      <w:r/>
    </w:p>
    <w:p>
      <w:pPr>
        <w:ind w:firstLine="420"/>
        <w:spacing w:line="360" w:lineRule="auto"/>
        <w:widowControl/>
        <w:rPr>
          <w:rFonts w:hint="eastAsia" w:ascii="宋体" w:hAnsi="宋体" w:cs="宋体"/>
          <w:szCs w:val="21"/>
        </w:rPr>
      </w:pPr>
      <w:r>
        <w:rPr>
          <w:rFonts w:hint="eastAsia" w:ascii="宋体" w:hAnsi="宋体" w:cs="宋体"/>
          <w:szCs w:val="21"/>
        </w:rPr>
        <w:t xml:space="preserve">3、遇有重大活动、灾害性雨雪天气等特殊情况，组织员工按照应 急预案和镇(街道)的要求，做好保障工作，甲方不承担额外费用。</w:t>
      </w:r>
      <w:r/>
    </w:p>
    <w:p>
      <w:pPr>
        <w:ind w:firstLine="420"/>
        <w:spacing w:line="360" w:lineRule="auto"/>
        <w:widowControl/>
        <w:rPr>
          <w:rFonts w:hint="eastAsia" w:ascii="宋体" w:hAnsi="宋体" w:cs="宋体"/>
          <w:szCs w:val="21"/>
        </w:rPr>
      </w:pPr>
      <w:r>
        <w:rPr>
          <w:rFonts w:hint="eastAsia" w:ascii="宋体" w:hAnsi="宋体" w:cs="宋体"/>
          <w:szCs w:val="21"/>
        </w:rPr>
        <w:t xml:space="preserve">4、公厕作业要求：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(1)公共厕所的日常保洁；公共厕所周边5米范围的保洁；公共厕所的消杀工作；公共厕所产生的垃圾的收集及处置；公共厕所设施的管理 。</w:t>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(2)公厕巡回保洁，每个时间段不小于三次，巡回保洁作业安排 由乙方书面向甲方报批；特殊情况下，由甲方指定作业时间和方式，消 杀时间为每年5月至10月。</w:t>
      </w:r>
      <w:r/>
    </w:p>
    <w:p>
      <w:pPr>
        <w:ind w:firstLine="420"/>
        <w:spacing w:line="360" w:lineRule="auto"/>
        <w:widowControl/>
        <w:rPr>
          <w:rFonts w:hint="eastAsia" w:ascii="宋体" w:hAnsi="宋体" w:cs="宋体"/>
          <w:szCs w:val="21"/>
        </w:rPr>
      </w:pPr>
      <w:r>
        <w:rPr>
          <w:rFonts w:hint="eastAsia" w:ascii="宋体" w:hAnsi="宋体" w:cs="宋体"/>
          <w:szCs w:val="21"/>
        </w:rPr>
        <w:t xml:space="preserve">5、道路人工保洁作业要求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(1)作业服务量清单所列面积及道路长度仅供参考，实际作业服 务范围现场交接时由甲方加以明确。</w:t>
      </w:r>
      <w:r/>
    </w:p>
    <w:p>
      <w:pPr>
        <w:ind w:firstLine="420"/>
        <w:spacing w:line="360" w:lineRule="auto"/>
        <w:widowControl/>
        <w:rPr>
          <w:rFonts w:hint="eastAsia" w:ascii="宋体" w:hAnsi="宋体" w:cs="宋体"/>
          <w:szCs w:val="21"/>
        </w:rPr>
      </w:pPr>
      <w:r>
        <w:rPr>
          <w:rFonts w:hint="eastAsia" w:ascii="宋体" w:hAnsi="宋体" w:cs="宋体"/>
          <w:szCs w:val="21"/>
        </w:rPr>
        <w:t xml:space="preserve">(2)每天普扫后，其余时间进行不间断保洁作业。</w:t>
      </w:r>
      <w:r/>
    </w:p>
    <w:p>
      <w:pPr>
        <w:ind w:firstLine="420"/>
        <w:spacing w:line="360" w:lineRule="auto"/>
        <w:widowControl/>
        <w:rPr>
          <w:rFonts w:hint="eastAsia" w:ascii="宋体" w:hAnsi="宋体" w:cs="宋体"/>
          <w:szCs w:val="21"/>
        </w:rPr>
      </w:pPr>
      <w:r>
        <w:rPr>
          <w:rFonts w:hint="eastAsia" w:ascii="宋体" w:hAnsi="宋体" w:cs="宋体"/>
          <w:szCs w:val="21"/>
        </w:rPr>
        <w:t xml:space="preserve">(3)车行道、人行道及绿化带内废弃物，如果皮、纸屑、塑膜、 烟蒂、痰迹等不得大于零废弃物控制指标，且路面无污水。</w:t>
      </w:r>
      <w:r/>
    </w:p>
    <w:p>
      <w:pPr>
        <w:ind w:firstLine="420"/>
        <w:spacing w:line="360" w:lineRule="auto"/>
        <w:widowControl/>
        <w:rPr>
          <w:rFonts w:hint="eastAsia" w:ascii="宋体" w:hAnsi="宋体" w:cs="宋体"/>
          <w:szCs w:val="21"/>
        </w:rPr>
      </w:pPr>
      <w:r>
        <w:rPr>
          <w:rFonts w:hint="eastAsia" w:ascii="宋体" w:hAnsi="宋体" w:cs="宋体"/>
          <w:szCs w:val="21"/>
        </w:rPr>
        <w:t xml:space="preserve">(4)全路段清扫无死角，垃圾无漏收；雨水窨井无阻塞。</w:t>
      </w:r>
      <w:r/>
    </w:p>
    <w:p>
      <w:pPr>
        <w:ind w:firstLine="420"/>
        <w:spacing w:line="360" w:lineRule="auto"/>
        <w:widowControl/>
        <w:rPr>
          <w:rFonts w:hint="eastAsia" w:ascii="宋体" w:hAnsi="宋体" w:cs="宋体"/>
          <w:szCs w:val="21"/>
        </w:rPr>
      </w:pPr>
      <w:r>
        <w:rPr>
          <w:rFonts w:hint="eastAsia" w:ascii="宋体" w:hAnsi="宋体" w:cs="宋体"/>
          <w:szCs w:val="21"/>
        </w:rPr>
        <w:t xml:space="preserve">(5)严禁手推车工人离岗倾倒垃圾。</w:t>
      </w:r>
      <w:r/>
    </w:p>
    <w:p>
      <w:pPr>
        <w:ind w:firstLine="420"/>
        <w:spacing w:line="360" w:lineRule="auto"/>
        <w:widowControl/>
        <w:rPr>
          <w:rFonts w:hint="eastAsia" w:ascii="宋体" w:hAnsi="宋体" w:cs="宋体"/>
          <w:szCs w:val="21"/>
        </w:rPr>
      </w:pPr>
      <w:r>
        <w:rPr>
          <w:rFonts w:hint="eastAsia" w:ascii="宋体" w:hAnsi="宋体" w:cs="宋体"/>
          <w:szCs w:val="21"/>
        </w:rPr>
        <w:t xml:space="preserve">(6)手推车必须套袋或装内胆以便向电瓶车转移，严禁垃圾倾倒 在路面，造成二次污染。</w:t>
      </w:r>
      <w:r/>
    </w:p>
    <w:p>
      <w:pPr>
        <w:ind w:firstLine="420"/>
        <w:spacing w:line="360" w:lineRule="auto"/>
        <w:widowControl/>
        <w:rPr>
          <w:rFonts w:hint="eastAsia" w:ascii="宋体" w:hAnsi="宋体" w:cs="宋体"/>
          <w:szCs w:val="21"/>
        </w:rPr>
      </w:pPr>
      <w:r>
        <w:rPr>
          <w:rFonts w:hint="eastAsia" w:ascii="宋体" w:hAnsi="宋体" w:cs="宋体"/>
          <w:szCs w:val="21"/>
        </w:rPr>
        <w:t xml:space="preserve">(7)降雪天气，应根据甲方指令及时组织铲雪除冰作业。道路融 雪后，路面煤渣、灰沙及其它废弃物应及时清扫干净。</w:t>
      </w:r>
      <w:r/>
    </w:p>
    <w:p>
      <w:pPr>
        <w:ind w:firstLine="420"/>
        <w:spacing w:line="360" w:lineRule="auto"/>
        <w:widowControl/>
        <w:rPr>
          <w:rFonts w:hint="eastAsia" w:ascii="宋体" w:hAnsi="宋体" w:cs="宋体"/>
          <w:szCs w:val="21"/>
        </w:rPr>
      </w:pPr>
      <w:r>
        <w:rPr>
          <w:rFonts w:hint="eastAsia" w:ascii="宋体" w:hAnsi="宋体" w:cs="宋体"/>
          <w:szCs w:val="21"/>
        </w:rPr>
        <w:t xml:space="preserve">（8）花岗岩花台每天清洗两次，并巡回保洁。</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十 、环卫其它要求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1、文明作业要求：对作业人员进行文明作业方面的教育；作业人  员必须穿着环卫标志服，严禁穿拖鞋上岗；作业时轻拿轻放，文明作业， 严禁故意挥扬尘；垃圾运输车辆必须完好、密封、整洁；作业职工之间 严禁传播不文明信息。</w:t>
      </w:r>
      <w:r/>
    </w:p>
    <w:p>
      <w:pPr>
        <w:ind w:firstLine="420"/>
        <w:spacing w:line="360" w:lineRule="auto"/>
        <w:widowControl/>
        <w:rPr>
          <w:rFonts w:hint="eastAsia" w:ascii="宋体" w:hAnsi="宋体" w:cs="宋体"/>
          <w:szCs w:val="21"/>
        </w:rPr>
      </w:pPr>
      <w:r>
        <w:rPr>
          <w:rFonts w:hint="eastAsia" w:ascii="宋体" w:hAnsi="宋体" w:cs="宋体"/>
          <w:szCs w:val="21"/>
        </w:rPr>
        <w:t xml:space="preserve">2、安全作业要求：认真贯彻执行国家、省、市、区有关安全生产 的法律法规和规定；配备安全生产专(兼)职管理人员，建立完整的安 全生产管理网络；规章制度健全，工作职责落实，考核目标明确，坚持 奖惩分明；定期开展安全作业检查，发现问题及时整改；杜绝重、特大安全事故，确保作业单位不发生企事业职工责任伤、亡事故和造成严重 影响的责任事故(包括但不限于爆炸、集中中毒和经济损失30万元以上等 ) 。</w:t>
      </w:r>
      <w:r/>
    </w:p>
    <w:p>
      <w:pPr>
        <w:ind w:firstLine="420"/>
        <w:spacing w:line="360" w:lineRule="auto"/>
        <w:widowControl/>
        <w:rPr>
          <w:rFonts w:hint="eastAsia" w:ascii="宋体" w:hAnsi="宋体" w:cs="宋体"/>
          <w:szCs w:val="21"/>
        </w:rPr>
      </w:pPr>
      <w:r>
        <w:rPr>
          <w:rFonts w:hint="eastAsia" w:ascii="宋体" w:hAnsi="宋体" w:cs="宋体"/>
          <w:szCs w:val="21"/>
        </w:rPr>
        <w:t xml:space="preserve">作业期内，一旦发生安全事故造成相关方人身、财产损害的，由乙 方承担所有责任和附带的赔偿款项，甲方不承担任何责任及费用。</w:t>
      </w:r>
      <w:r/>
    </w:p>
    <w:p>
      <w:pPr>
        <w:ind w:firstLine="420"/>
        <w:spacing w:line="360" w:lineRule="auto"/>
        <w:widowControl/>
        <w:rPr>
          <w:rFonts w:hint="eastAsia" w:ascii="宋体" w:hAnsi="宋体" w:cs="宋体"/>
          <w:szCs w:val="21"/>
        </w:rPr>
      </w:pPr>
      <w:r>
        <w:rPr>
          <w:rFonts w:hint="eastAsia" w:ascii="宋体" w:hAnsi="宋体" w:cs="宋体"/>
          <w:szCs w:val="21"/>
        </w:rPr>
        <w:t xml:space="preserve">各环卫作业单位必须为每一位作业人员购买人身意外险，符合条件 的还应办理社保手续。</w:t>
      </w:r>
      <w:r/>
    </w:p>
    <w:p>
      <w:pPr>
        <w:ind w:firstLine="420"/>
        <w:spacing w:line="360" w:lineRule="auto"/>
        <w:widowControl/>
        <w:rPr>
          <w:rFonts w:hint="eastAsia" w:ascii="宋体" w:hAnsi="宋体" w:cs="宋体"/>
          <w:szCs w:val="21"/>
        </w:rPr>
      </w:pPr>
      <w:r>
        <w:rPr>
          <w:rFonts w:hint="eastAsia" w:ascii="宋体" w:hAnsi="宋体" w:cs="宋体"/>
          <w:szCs w:val="21"/>
        </w:rPr>
        <w:t xml:space="preserve">3、 乙方每个月必须组织所有员工进行安全生产培训。</w:t>
      </w:r>
      <w:r/>
    </w:p>
    <w:p>
      <w:pPr>
        <w:ind w:firstLine="420"/>
        <w:spacing w:line="360" w:lineRule="auto"/>
        <w:widowControl/>
        <w:rPr>
          <w:rFonts w:hint="eastAsia" w:ascii="宋体" w:hAnsi="宋体" w:cs="宋体"/>
          <w:szCs w:val="21"/>
        </w:rPr>
      </w:pPr>
      <w:r>
        <w:rPr>
          <w:rFonts w:hint="eastAsia" w:ascii="宋体" w:hAnsi="宋体" w:cs="宋体"/>
          <w:szCs w:val="21"/>
        </w:rPr>
        <w:t xml:space="preserve">4、有以下情况出现的，委托方将予以解除本委托书或调整委托作 业面积、区域，另行安排委托作业：</w:t>
      </w:r>
      <w:r/>
    </w:p>
    <w:p>
      <w:pPr>
        <w:ind w:firstLine="420"/>
        <w:spacing w:line="360" w:lineRule="auto"/>
        <w:widowControl/>
        <w:rPr>
          <w:rFonts w:hint="eastAsia" w:ascii="宋体" w:hAnsi="宋体" w:cs="宋体"/>
          <w:szCs w:val="21"/>
        </w:rPr>
      </w:pPr>
      <w:r>
        <w:rPr>
          <w:rFonts w:hint="eastAsia" w:ascii="宋体" w:hAnsi="宋体" w:cs="宋体"/>
          <w:szCs w:val="21"/>
        </w:rPr>
        <w:t xml:space="preserve">(1)被委托方未按照相关规定、程序以及本委托书的约定进行选 择环卫作业单位的。</w:t>
      </w:r>
      <w:r/>
    </w:p>
    <w:p>
      <w:pPr>
        <w:ind w:firstLine="420"/>
        <w:spacing w:line="360" w:lineRule="auto"/>
        <w:widowControl/>
        <w:rPr>
          <w:rFonts w:hint="eastAsia" w:ascii="宋体" w:hAnsi="宋体" w:cs="宋体"/>
          <w:szCs w:val="21"/>
        </w:rPr>
      </w:pPr>
      <w:r>
        <w:rPr>
          <w:rFonts w:hint="eastAsia" w:ascii="宋体" w:hAnsi="宋体" w:cs="宋体"/>
          <w:szCs w:val="21"/>
        </w:rPr>
        <w:t xml:space="preserve">(2)被委托方因自身管理、机械配备和人员保障等方面不具备履 行本委托协议作业内容的。</w:t>
      </w:r>
      <w:r/>
    </w:p>
    <w:p>
      <w:pPr>
        <w:ind w:firstLine="420"/>
        <w:spacing w:line="360" w:lineRule="auto"/>
        <w:widowControl/>
        <w:rPr>
          <w:rFonts w:hint="eastAsia" w:ascii="宋体" w:hAnsi="宋体" w:cs="宋体"/>
          <w:szCs w:val="21"/>
        </w:rPr>
      </w:pPr>
      <w:r>
        <w:rPr>
          <w:rFonts w:hint="eastAsia" w:ascii="宋体" w:hAnsi="宋体" w:cs="宋体"/>
          <w:szCs w:val="21"/>
        </w:rPr>
        <w:t xml:space="preserve">5、环卫保险要求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乙方应充分评估本项目的风险，并购买环卫清洁服务过程中所需的 保险，保证保险的有效期自本合同生效之日起至结束为止。保险包括但 不限于：</w:t>
      </w:r>
      <w:r/>
    </w:p>
    <w:p>
      <w:pPr>
        <w:ind w:firstLine="420"/>
        <w:spacing w:line="360" w:lineRule="auto"/>
        <w:widowControl/>
        <w:rPr>
          <w:rFonts w:hint="eastAsia" w:ascii="宋体" w:hAnsi="宋体" w:cs="宋体"/>
          <w:szCs w:val="21"/>
        </w:rPr>
      </w:pPr>
      <w:r>
        <w:rPr>
          <w:rFonts w:hint="eastAsia" w:ascii="宋体" w:hAnsi="宋体" w:cs="宋体"/>
          <w:szCs w:val="21"/>
        </w:rPr>
        <w:t xml:space="preserve">(1)乙方必须按规定为参与本项目的车辆购买保额为不低于100 万的第三方责任保险。</w:t>
      </w:r>
      <w:r/>
    </w:p>
    <w:p>
      <w:pPr>
        <w:ind w:firstLine="420"/>
        <w:spacing w:line="360" w:lineRule="auto"/>
        <w:widowControl/>
        <w:rPr>
          <w:rFonts w:hint="eastAsia" w:ascii="宋体" w:hAnsi="宋体" w:cs="宋体"/>
          <w:szCs w:val="21"/>
        </w:rPr>
      </w:pPr>
      <w:r>
        <w:rPr>
          <w:rFonts w:hint="eastAsia" w:ascii="宋体" w:hAnsi="宋体" w:cs="宋体"/>
          <w:szCs w:val="21"/>
        </w:rPr>
        <w:t xml:space="preserve">(2)乙方必须按规定为员工购买社会保险，并为环卫工人购买人 身意外伤亡保险。</w:t>
      </w:r>
      <w:r/>
    </w:p>
    <w:p>
      <w:pPr>
        <w:ind w:firstLine="420"/>
        <w:spacing w:line="360" w:lineRule="auto"/>
        <w:widowControl/>
        <w:rPr>
          <w:rFonts w:hint="eastAsia" w:ascii="宋体" w:hAnsi="宋体" w:cs="宋体"/>
          <w:szCs w:val="21"/>
        </w:rPr>
      </w:pPr>
      <w:r>
        <w:rPr>
          <w:rFonts w:hint="eastAsia" w:ascii="宋体" w:hAnsi="宋体" w:cs="宋体"/>
          <w:szCs w:val="21"/>
        </w:rPr>
        <w:t xml:space="preserve">(3)乙方须向甲方提供有效的保险单据和保险合同。</w:t>
      </w:r>
      <w:r/>
    </w:p>
    <w:p>
      <w:pPr>
        <w:ind w:firstLine="420"/>
        <w:spacing w:line="360" w:lineRule="auto"/>
        <w:widowControl/>
        <w:rPr>
          <w:rFonts w:hint="eastAsia" w:ascii="宋体" w:hAnsi="宋体" w:cs="宋体"/>
          <w:szCs w:val="21"/>
        </w:rPr>
      </w:pPr>
      <w:r>
        <w:rPr>
          <w:rFonts w:hint="eastAsia" w:ascii="宋体" w:hAnsi="宋体" w:cs="宋体"/>
          <w:szCs w:val="21"/>
        </w:rPr>
        <w:t xml:space="preserve">6、垃圾清运作业要求：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(1)垃圾收集清运时间为5:00-17:00,全天杜绝垃圾清运点出现 满溢。临街垃圾收集上午必须在9:00前完成。区自有产权的垃圾房、 垃圾亭、垃圾桶每天清洗一次。遇车辆故障等原因报由采购人临时调整。</w:t>
      </w:r>
      <w:r/>
    </w:p>
    <w:p>
      <w:pPr>
        <w:ind w:firstLine="420"/>
        <w:spacing w:line="360" w:lineRule="auto"/>
        <w:widowControl/>
        <w:rPr>
          <w:rFonts w:hint="eastAsia" w:ascii="宋体" w:hAnsi="宋体" w:cs="宋体"/>
          <w:szCs w:val="21"/>
        </w:rPr>
      </w:pPr>
      <w:r>
        <w:rPr>
          <w:rFonts w:hint="eastAsia" w:ascii="宋体" w:hAnsi="宋体" w:cs="宋体"/>
          <w:szCs w:val="21"/>
        </w:rPr>
        <w:t xml:space="preserve">(2)垃圾清运点周围2米内必须打扫干净，无死角，无乱张贴。</w:t>
      </w:r>
      <w:r/>
    </w:p>
    <w:p>
      <w:pPr>
        <w:ind w:firstLine="420"/>
        <w:spacing w:line="360" w:lineRule="auto"/>
        <w:widowControl/>
        <w:rPr>
          <w:rFonts w:hint="eastAsia" w:ascii="宋体" w:hAnsi="宋体" w:cs="宋体"/>
          <w:szCs w:val="21"/>
        </w:rPr>
      </w:pPr>
      <w:r>
        <w:rPr>
          <w:rFonts w:hint="eastAsia" w:ascii="宋体" w:hAnsi="宋体" w:cs="宋体"/>
          <w:szCs w:val="21"/>
        </w:rPr>
        <w:t xml:space="preserve">(3)垃圾清运车辆必须自觉遵守交通规则，做到安全生产。</w:t>
      </w:r>
      <w:r/>
    </w:p>
    <w:p>
      <w:pPr>
        <w:ind w:firstLine="420"/>
        <w:spacing w:line="360" w:lineRule="auto"/>
        <w:widowControl/>
        <w:rPr>
          <w:rFonts w:hint="eastAsia" w:ascii="宋体" w:hAnsi="宋体" w:cs="宋体"/>
          <w:szCs w:val="21"/>
        </w:rPr>
      </w:pPr>
      <w:r>
        <w:rPr>
          <w:rFonts w:hint="eastAsia" w:ascii="宋体" w:hAnsi="宋体" w:cs="宋体"/>
          <w:szCs w:val="21"/>
        </w:rPr>
        <w:t xml:space="preserve">(4)垃圾清运车辆应保持容貌整洁，车辆编号、每日清洗，做到 车辆性能完好、干净整洁。</w:t>
      </w:r>
      <w:r/>
    </w:p>
    <w:p>
      <w:pPr>
        <w:ind w:firstLine="420"/>
        <w:spacing w:line="360" w:lineRule="auto"/>
        <w:widowControl/>
        <w:rPr>
          <w:rFonts w:hint="eastAsia" w:ascii="宋体" w:hAnsi="宋体" w:cs="宋体"/>
          <w:szCs w:val="21"/>
        </w:rPr>
      </w:pPr>
      <w:r>
        <w:rPr>
          <w:rFonts w:hint="eastAsia" w:ascii="宋体" w:hAnsi="宋体" w:cs="宋体"/>
          <w:szCs w:val="21"/>
        </w:rPr>
        <w:t xml:space="preserve">(5)电瓶收集车应确保收集的生活垃圾送往指定的转运站或垃圾 房/亭，不得拒绝沿线居民向垃圾收集车辆内倾倒生活垃圾；直收直运 车辆应确保收集的生活垃圾送住指定终端。</w:t>
      </w:r>
      <w:r/>
    </w:p>
    <w:p>
      <w:pPr>
        <w:ind w:firstLine="420"/>
        <w:spacing w:line="360" w:lineRule="auto"/>
        <w:widowControl/>
        <w:rPr>
          <w:rFonts w:hint="eastAsia" w:ascii="宋体" w:hAnsi="宋体" w:cs="宋体"/>
          <w:szCs w:val="21"/>
        </w:rPr>
      </w:pPr>
      <w:r>
        <w:rPr>
          <w:rFonts w:hint="eastAsia" w:ascii="宋体" w:hAnsi="宋体" w:cs="宋体"/>
          <w:szCs w:val="21"/>
        </w:rPr>
        <w:t xml:space="preserve">(6)每年5月1日至10月31日，应做好对垃圾收集点的蚊蝇等 消杀工作。</w:t>
      </w:r>
      <w:r/>
    </w:p>
    <w:p>
      <w:pPr>
        <w:ind w:firstLine="420"/>
        <w:spacing w:line="360" w:lineRule="auto"/>
        <w:widowControl/>
        <w:rPr>
          <w:rFonts w:hint="eastAsia" w:ascii="宋体" w:hAnsi="宋体" w:cs="宋体"/>
          <w:szCs w:val="21"/>
        </w:rPr>
      </w:pPr>
      <w:r>
        <w:rPr>
          <w:rFonts w:hint="eastAsia" w:ascii="宋体" w:hAnsi="宋体" w:cs="宋体"/>
          <w:szCs w:val="21"/>
        </w:rPr>
        <w:t xml:space="preserve">(7)所有作业单位(特殊约定的除外)和个人严禁从事生活垃圾 有偿清运服务。</w:t>
      </w:r>
      <w:r/>
    </w:p>
    <w:p>
      <w:pPr>
        <w:ind w:firstLine="420"/>
        <w:spacing w:line="360" w:lineRule="auto"/>
        <w:widowControl/>
        <w:rPr>
          <w:rFonts w:hint="eastAsia" w:ascii="宋体" w:hAnsi="宋体" w:cs="宋体"/>
          <w:szCs w:val="21"/>
        </w:rPr>
      </w:pPr>
      <w:r>
        <w:rPr>
          <w:rFonts w:hint="eastAsia" w:ascii="宋体" w:hAnsi="宋体" w:cs="宋体"/>
          <w:szCs w:val="21"/>
        </w:rPr>
        <w:t xml:space="preserve">(8)所有车辆严禁收运生活垃圾以外的任何废弃物。</w:t>
      </w:r>
      <w:r/>
    </w:p>
    <w:p>
      <w:pPr>
        <w:ind w:firstLine="420"/>
        <w:spacing w:line="360" w:lineRule="auto"/>
        <w:widowControl/>
        <w:rPr>
          <w:rFonts w:hint="eastAsia" w:ascii="宋体" w:hAnsi="宋体" w:cs="宋体"/>
          <w:szCs w:val="21"/>
        </w:rPr>
      </w:pPr>
      <w:r>
        <w:rPr>
          <w:rFonts w:hint="eastAsia" w:ascii="宋体" w:hAnsi="宋体" w:cs="宋体"/>
          <w:szCs w:val="21"/>
        </w:rPr>
        <w:t xml:space="preserve">7.果壳箱清运清洗要求：</w:t>
      </w:r>
      <w:r/>
    </w:p>
    <w:p>
      <w:pPr>
        <w:ind w:firstLine="420"/>
        <w:spacing w:line="360" w:lineRule="auto"/>
        <w:widowControl/>
        <w:rPr>
          <w:rFonts w:hint="eastAsia" w:ascii="宋体" w:hAnsi="宋体" w:cs="宋体"/>
          <w:szCs w:val="21"/>
        </w:rPr>
      </w:pPr>
      <w:r>
        <w:rPr>
          <w:rFonts w:hint="eastAsia" w:ascii="宋体" w:hAnsi="宋体" w:cs="宋体"/>
          <w:szCs w:val="21"/>
        </w:rPr>
        <w:t xml:space="preserve">(1)14小时以内(含14小时)保洁道路的果壳箱每天两清运两 清洗。</w:t>
      </w:r>
      <w:r/>
    </w:p>
    <w:p>
      <w:pPr>
        <w:ind w:firstLine="420"/>
        <w:spacing w:line="360" w:lineRule="auto"/>
        <w:widowControl/>
        <w:rPr>
          <w:rFonts w:hint="eastAsia" w:ascii="宋体" w:hAnsi="宋体" w:cs="宋体"/>
          <w:szCs w:val="21"/>
        </w:rPr>
      </w:pPr>
      <w:r>
        <w:rPr>
          <w:rFonts w:hint="eastAsia" w:ascii="宋体" w:hAnsi="宋体" w:cs="宋体"/>
          <w:szCs w:val="21"/>
        </w:rPr>
        <w:t xml:space="preserve">果壳箱垃圾清运完成时间(每日两次):7:00前、15:00前； 清洗完成时间：9:00前、15:00前，清洗结束应及时收集沿街垃圾。</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8、环卫作业人员劳动用品配备标准及发放要求</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（1）发放范围：从事一线作业的环卫工人。</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（2）发放物品：根据日常劳动需要，按时发放普通防护服、普通工作帽、普通工作鞋、防寒服、雨衣、胶鞋等日常劳动保护用品。（3）发放要求</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1）中标人须承担200元/年·人的专款按时发放劳护用品；</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2）劳护用品必须以实物形式发放，不得将之纳入环卫工人现有工资额度；</w:t>
      </w:r>
      <w:r/>
    </w:p>
    <w:p>
      <w:pPr>
        <w:ind w:firstLine="420"/>
        <w:jc w:val="left"/>
        <w:spacing w:line="360" w:lineRule="auto"/>
        <w:widowControl/>
        <w:rPr>
          <w:rFonts w:hint="eastAsia" w:ascii="宋体" w:hAnsi="宋体" w:cs="宋体"/>
          <w:bCs/>
          <w:szCs w:val="21"/>
        </w:rPr>
      </w:pPr>
      <w:r>
        <w:rPr>
          <w:rFonts w:hint="eastAsia" w:ascii="宋体" w:hAnsi="宋体" w:cs="宋体"/>
          <w:bCs/>
          <w:szCs w:val="21"/>
        </w:rPr>
        <w:t xml:space="preserve">3）加强对劳护用品发放工作的监管，建立、健全必要的发放、保管、使用、回收/以旧换新等制度；</w:t>
      </w:r>
      <w:r/>
    </w:p>
    <w:p>
      <w:pPr>
        <w:pStyle w:val="1020"/>
        <w:ind w:firstLine="630"/>
        <w:jc w:val="left"/>
        <w:keepLines/>
        <w:keepNext/>
        <w:rPr>
          <w:rFonts w:hint="eastAsia" w:ascii="宋体" w:hAnsi="宋体" w:cs="宋体"/>
          <w:b w:val="0"/>
          <w:bCs/>
          <w:sz w:val="21"/>
          <w:szCs w:val="21"/>
        </w:rPr>
      </w:pPr>
      <w:r>
        <w:rPr>
          <w:rFonts w:hint="eastAsia" w:ascii="宋体" w:hAnsi="宋体" w:cs="宋体"/>
          <w:b w:val="0"/>
          <w:bCs/>
          <w:sz w:val="21"/>
          <w:szCs w:val="21"/>
        </w:rPr>
        <w:t xml:space="preserve">4）提高环卫工人爱惜劳护用品、勤俭节约的意识，避免造成劳护用品的浪费。</w:t>
      </w:r>
      <w:r/>
    </w:p>
    <w:p>
      <w:pPr>
        <w:pStyle w:val="1020"/>
        <w:ind w:firstLine="420"/>
        <w:jc w:val="left"/>
        <w:keepLines/>
        <w:keepNext/>
        <w:rPr>
          <w:rFonts w:hint="eastAsia" w:ascii="宋体" w:hAnsi="宋体" w:cs="宋体"/>
          <w:b w:val="0"/>
          <w:bCs/>
          <w:sz w:val="21"/>
          <w:szCs w:val="21"/>
        </w:rPr>
      </w:pPr>
      <w:r>
        <w:rPr>
          <w:rFonts w:hint="eastAsia" w:ascii="宋体" w:hAnsi="宋体" w:cs="宋体"/>
          <w:b w:val="0"/>
          <w:bCs/>
          <w:sz w:val="21"/>
          <w:szCs w:val="21"/>
        </w:rPr>
        <w:t xml:space="preserve">（4）劳动防护用品配备技术参数及配置要求（中标后统一确定）。</w:t>
      </w:r>
      <w:r/>
    </w:p>
    <w:p>
      <w:pPr>
        <w:pStyle w:val="1020"/>
        <w:ind w:firstLine="422"/>
        <w:jc w:val="left"/>
        <w:keepLines/>
        <w:keepNext/>
        <w:rPr>
          <w:rFonts w:hint="eastAsia" w:ascii="宋体" w:hAnsi="宋体" w:cs="宋体"/>
          <w:sz w:val="21"/>
          <w:szCs w:val="21"/>
        </w:rPr>
      </w:pPr>
      <w:r>
        <w:rPr>
          <w:rFonts w:hint="eastAsia" w:ascii="宋体" w:hAnsi="宋体" w:cs="宋体"/>
          <w:sz w:val="21"/>
          <w:szCs w:val="21"/>
        </w:rPr>
        <w:t xml:space="preserve">十一 、绿</w:t>
      </w:r>
      <w:r>
        <w:rPr>
          <w:rFonts w:hint="eastAsia" w:ascii="宋体" w:hAnsi="宋体" w:cs="宋体"/>
          <w:bCs/>
          <w:sz w:val="21"/>
          <w:szCs w:val="21"/>
        </w:rPr>
        <w:t xml:space="preserve">化作业标准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1、为确保作业质量，乙方需对作业区域绿地落实专人进行动态养护管理，着装上岗，全天候作业。</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2、作业过程中，乙方必须采取周密的安全措施，以避免对人身和财产的损害，由于安全措施不到位造成人身伤害或财产损失的，由乙方自行承担。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3、由于台风、暴雨、大雪等自然灾害引起树木突然倒塌，碰线、碰屋，影响交通安全等，乙方需立即启动相关预案，并在接到甲方通知后应迅速组织力量，半小时内到达现场并及时处理。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4、对于乙方养护作业期间由于养护作业工作不能及时完成，且造成较大影响的，甲方有权安排第三方进场作业，所发生的费用从乙方月度作业费中扣除。</w:t>
      </w:r>
      <w:r/>
    </w:p>
    <w:p>
      <w:pPr>
        <w:ind w:firstLine="420"/>
        <w:spacing w:line="360" w:lineRule="auto"/>
        <w:widowControl/>
        <w:rPr>
          <w:rFonts w:hint="eastAsia" w:ascii="宋体" w:hAnsi="宋体" w:cs="宋体"/>
          <w:szCs w:val="21"/>
        </w:rPr>
      </w:pPr>
      <w:r>
        <w:rPr>
          <w:rFonts w:hint="eastAsia" w:ascii="宋体" w:hAnsi="宋体" w:cs="宋体"/>
          <w:szCs w:val="21"/>
        </w:rPr>
        <w:t xml:space="preserve">5、发生绿化被偷盗、挖掘、损坏的，及时阻止并上报。</w:t>
      </w:r>
      <w:r/>
    </w:p>
    <w:p>
      <w:pPr>
        <w:ind w:firstLine="420"/>
        <w:spacing w:line="360" w:lineRule="auto"/>
        <w:widowControl/>
        <w:rPr>
          <w:rFonts w:hint="eastAsia" w:ascii="宋体" w:hAnsi="宋体" w:cs="宋体"/>
          <w:szCs w:val="21"/>
        </w:rPr>
      </w:pPr>
      <w:r>
        <w:rPr>
          <w:rFonts w:hint="eastAsia" w:ascii="宋体" w:hAnsi="宋体" w:cs="宋体"/>
          <w:szCs w:val="21"/>
        </w:rPr>
        <w:t xml:space="preserve">6、乙方负责原有设施及绿化的成品保护工作，对发现人为破坏设施及绿化行为，乙方有义务对破坏行为进行及时报警并采取有效制止措施。</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十二、绿化作业内容的调整及变更</w:t>
      </w:r>
      <w:r/>
    </w:p>
    <w:p>
      <w:pPr>
        <w:ind w:firstLine="420"/>
        <w:spacing w:line="360" w:lineRule="auto"/>
        <w:widowControl/>
        <w:rPr>
          <w:rFonts w:hint="eastAsia" w:ascii="宋体" w:hAnsi="宋体" w:cs="宋体"/>
          <w:szCs w:val="21"/>
        </w:rPr>
      </w:pPr>
      <w:r>
        <w:rPr>
          <w:rFonts w:hint="eastAsia" w:ascii="宋体" w:hAnsi="宋体" w:cs="宋体"/>
          <w:szCs w:val="21"/>
        </w:rPr>
        <w:t xml:space="preserve">1、合同签订时因实际绿化养护面积与磋商文件中所述面积有差异，以实际养护面积为准，且不再因此调整合同金额。乙方对养护面积有疑义的，以测绘面积为准。</w:t>
      </w:r>
      <w:r/>
    </w:p>
    <w:p>
      <w:pPr>
        <w:ind w:firstLine="420"/>
        <w:spacing w:line="360" w:lineRule="auto"/>
        <w:widowControl/>
        <w:rPr>
          <w:rFonts w:hint="eastAsia" w:ascii="宋体" w:hAnsi="宋体" w:cs="宋体"/>
          <w:szCs w:val="21"/>
        </w:rPr>
      </w:pPr>
      <w:r>
        <w:rPr>
          <w:rFonts w:hint="eastAsia" w:ascii="宋体" w:hAnsi="宋体" w:cs="宋体"/>
          <w:szCs w:val="21"/>
        </w:rPr>
        <w:t xml:space="preserve">2、在合同履行过程中，若因政策调整（政策性发文），工程改造、交接等，甲方亦有权对作业管养区域面积进行调整，养护作业面积出现变化时，以原合同单价和实际增减面积据实调整养护作业费用。</w:t>
      </w:r>
      <w:r/>
    </w:p>
    <w:p>
      <w:pPr>
        <w:pStyle w:val="1021"/>
        <w:spacing w:before="0" w:after="0" w:line="360" w:lineRule="auto"/>
        <w:rPr>
          <w:rFonts w:hint="eastAsia" w:ascii="宋体" w:hAnsi="宋体" w:cs="宋体"/>
          <w:sz w:val="21"/>
          <w:szCs w:val="21"/>
        </w:rPr>
      </w:pPr>
      <w:r>
        <w:rPr>
          <w:rFonts w:hint="eastAsia" w:ascii="宋体" w:hAnsi="宋体" w:cs="宋体"/>
          <w:sz w:val="21"/>
          <w:szCs w:val="21"/>
        </w:rPr>
        <w:t xml:space="preserve">十三、绿化养护其他作业要求</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绿地养护质量标准要求：严格按照《江苏省城市园林绿化养护管理分级标准》、常园发【2012】44号《常州市城市园林绿化养护管理技术规范》（试行）、《常州市城市绿化养护管理质量标准》（试行）、《常州市城市绿地养护技术要求》质量标准、《市政府关于进一步完善常州市城市长效综合管理考核工作的实施意见》和采购人及其上级发布的管理规定、规范、办法、文件等执行。如遇新标准，按最新标准执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2、人员要求：养护作业人员男女不限。女性：主要以年龄60周岁以下为主；男性：主要以年龄55周岁以下为主。所有人员身体健康，具有一定的绿化养护经验，工作效率高。 </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中标人根据绿地养护作业技术规范、绿化养护作业质量标准和有关要求，积极主动保质保量地完成绿化养护作业工作。对管护范围内的所有绿化（包括花草、灌木、乔木等）成活率达100%（不可抗力除外），凡死、伤均由中标人无条件按原标准更换补植,并确保成活（不可抗力除外）。在树木、花木修枝剪叶整形中，对产生的残枝、残叶、杂草等必须随修随清，保证道路、公共绿地的环境整洁。</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4、中标人在施工过程中应采取施工安全措施，确保工程及其人员、材料、设备和设施的安全，防止因工程施工造成的人身伤害和财产损失。</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5、中标人应对其履行合同所雇佣的全部人员工伤事故承担责任。</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6、由于中标人原因在施工场地内及其毗邻地带造成的第三者人员伤亡和财产损失，由中标人负责赔偿。</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7、中标人需配备专职巡查人员，就下列项目展开巡查工作，专职巡视资料员日常巡查内容：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1）、作业区域有无私开、私挖现象；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2）、作业区域内各类绿化植物有无私自修剪现象；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3）、作业区域内有无苗木偷盗、绿化带毁绿种菜现象；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4）、作业区域内有无苗木死亡、空秃及病虫害现象；</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5）、其他各类采购人另行规定的巡查内容。</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安全、文明施工要求：确保安全、文明施工原则。养护作业应注意自身和第三方的施工操作人员和行人的安全，注意不损害周边市政设施和建筑物，不影响市容环境。做好各项围护、防护措施，配合采购人的管理。养护工作中确保零安全事故，如有由养护单位自行承担。</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十四、考核与结算方式</w:t>
      </w:r>
      <w:r/>
    </w:p>
    <w:p>
      <w:pPr>
        <w:pStyle w:val="1021"/>
        <w:spacing w:before="0" w:after="0" w:line="360" w:lineRule="auto"/>
        <w:rPr>
          <w:rFonts w:hint="eastAsia" w:ascii="宋体" w:hAnsi="宋体" w:cs="宋体"/>
          <w:spacing w:val="11"/>
          <w:sz w:val="21"/>
          <w:szCs w:val="21"/>
        </w:rPr>
      </w:pPr>
      <w:r>
        <w:rPr>
          <w:rFonts w:hint="eastAsia" w:ascii="宋体" w:hAnsi="宋体" w:cs="宋体"/>
          <w:sz w:val="21"/>
          <w:szCs w:val="21"/>
        </w:rPr>
        <w:t xml:space="preserve">（一）环卫作业考核办法及结算方式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1、涉及本合同中的工作考核及相关费用支付，以镇相应的长效管理办法及考核文件为依据，实际拨付时按照后续的考核细则内容及确定的考核扣款结果为准。</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2、付款方式：根据每年合同金额平均到每月，扣除每月各项考核后，剩余费用按季度支付给中标人。</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季度付款=季度作业费用一各部门考核累计扣除金额。</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考核扣除金额：市考评问题2000元/个，区考评问题500元/个， 镇考评或领导发现问题100元/个。</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遇有重大活动、灾害性雨雪天气等特殊情况，组织员工按照应急预案和街道的要求，做好保障工作，应急补贴费用不超过100元/人/天。</w:t>
      </w:r>
      <w:r/>
    </w:p>
    <w:p>
      <w:pPr>
        <w:pStyle w:val="1021"/>
        <w:spacing w:before="0" w:after="0" w:line="360" w:lineRule="auto"/>
        <w:rPr>
          <w:rFonts w:hint="eastAsia" w:ascii="宋体" w:hAnsi="宋体" w:cs="宋体"/>
          <w:sz w:val="21"/>
          <w:szCs w:val="21"/>
        </w:rPr>
      </w:pPr>
      <w:r>
        <w:rPr>
          <w:rFonts w:hint="eastAsia" w:ascii="宋体" w:hAnsi="宋体" w:cs="宋体"/>
          <w:sz w:val="21"/>
          <w:szCs w:val="21"/>
        </w:rPr>
        <w:t xml:space="preserve">（二）绿化养护考核办法及结算方式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1、全年按合同年有奔牛镇绿化管护考核组（建设局、执法局、财政分局等人员组成）每三个月进行一次季度考核，平时不定期实地检查和查阅管护台账记录方式进行考核（扣分累加纳入季度考核）。</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考核标准严格按《奔牛镇公共绿地管护百分考核表》执行。每季度得分在90分以上（含90分）的为合格，90分以下为不合格（不含90分），85分—89分（含85分）的扣除每季度管护费的20%，80分—84分（含80分）的扣除每季度管护费的50%，79分以下管护经费不予结算。如季度考核两次不合格，中标人无条件退出管护权限，采购人另行招标化管护方，合同终止。</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日常检查和考评由市、区两级城市监督指挥中心，市、区两级“污防办“，市、区两级大气污染防治办公室，文明办、区环管中心和乡镇共同实施，考核得分采用各部门考评分累加的办法计算。市城市长效管理考评问题每个扣5000元，区城市长效管理考评和区环管中心考评的问题（现场考评和日常巡查未整改问题）每个扣1000元，乡镇考核及限时整改未达要求的问题每个扣500元，镇领导发现或其他问题每个扣100元，新的考评要求另定。</w:t>
      </w:r>
      <w:r/>
    </w:p>
    <w:p>
      <w:pPr>
        <w:ind w:firstLine="420"/>
        <w:jc w:val="left"/>
        <w:spacing w:line="360" w:lineRule="auto"/>
        <w:widowControl/>
        <w:rPr>
          <w:rFonts w:hint="eastAsia" w:ascii="宋体" w:hAnsi="宋体" w:cs="宋体"/>
          <w:szCs w:val="21"/>
        </w:rPr>
      </w:pPr>
      <w:r>
        <w:rPr>
          <w:rFonts w:hint="eastAsia" w:ascii="宋体" w:hAnsi="宋体" w:cs="宋体"/>
          <w:b/>
          <w:bCs/>
          <w:szCs w:val="21"/>
        </w:rPr>
        <w:t xml:space="preserve">4、结算方式：</w:t>
      </w:r>
      <w:r>
        <w:rPr>
          <w:rFonts w:hint="eastAsia" w:ascii="宋体" w:hAnsi="宋体" w:cs="宋体"/>
          <w:szCs w:val="21"/>
        </w:rPr>
        <w:t xml:space="preserve">按照《奔牛镇公共绿地养护管理百分考核细则》考核分值,每季度支付养护费用。管护管理工作期限如有变动，资金拨付以实际服务期限为准。</w:t>
      </w:r>
      <w:r/>
    </w:p>
    <w:p>
      <w:pPr>
        <w:pStyle w:val="1026"/>
        <w:rPr>
          <w:rFonts w:hint="eastAsia" w:ascii="宋体" w:hAnsi="宋体" w:cs="宋体"/>
          <w:szCs w:val="21"/>
        </w:rPr>
      </w:pPr>
      <w:r>
        <w:rPr>
          <w:rFonts w:hint="eastAsia" w:ascii="宋体" w:hAnsi="宋体" w:cs="宋体"/>
          <w:szCs w:val="21"/>
        </w:rPr>
      </w:r>
      <w:r/>
    </w:p>
    <w:tbl>
      <w:tblPr>
        <w:tblW w:w="5000" w:type="pct"/>
        <w:tblLook w:val="04A0" w:firstRow="1" w:lastRow="0" w:firstColumn="1" w:lastColumn="0" w:noHBand="0" w:noVBand="1"/>
      </w:tblPr>
      <w:tblGrid>
        <w:gridCol w:w="702"/>
        <w:gridCol w:w="427"/>
        <w:gridCol w:w="441"/>
        <w:gridCol w:w="2469"/>
        <w:gridCol w:w="452"/>
        <w:gridCol w:w="427"/>
        <w:gridCol w:w="3388"/>
      </w:tblGrid>
      <w:tr>
        <w:trPr>
          <w:trHeight w:val="640"/>
        </w:trPr>
        <w:tc>
          <w:tcPr>
            <w:gridSpan w:val="7"/>
            <w:tcBorders>
              <w:top w:val="none" w:color="000000" w:sz="4" w:space="0"/>
              <w:left w:val="none" w:color="000000" w:sz="4" w:space="0"/>
              <w:bottom w:val="none" w:color="000000" w:sz="4" w:space="0"/>
              <w:right w:val="none" w:color="000000" w:sz="4" w:space="0"/>
            </w:tcBorders>
            <w:tcW w:w="5000"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考核标准及细则</w:t>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分类</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考核内容及管护要求</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标准分值</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得分</w:t>
            </w:r>
            <w:r/>
          </w:p>
        </w:tc>
        <w:tc>
          <w:tcPr>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lang w:bidi="ar"/>
              </w:rPr>
              <w:t xml:space="preserve">扣分细则</w:t>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常规工作</w:t>
            </w:r>
            <w:r>
              <w:rPr>
                <w:rFonts w:hint="eastAsia" w:ascii="宋体" w:hAnsi="宋体" w:cs="宋体"/>
                <w:szCs w:val="21"/>
                <w:lang w:bidi="ar"/>
              </w:rPr>
              <w:br/>
              <w:t xml:space="preserve">（30分）</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卫生保洁</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1、树木、草坪修剪后枝叶、垃圾应及时清运不过夜，做到不乱丢乱抛。</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整修后树枝乱放不及时清运扣2分/处。</w:t>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松土除草</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2、绿地及时除杂草，绿地内不得间种农作物。</w:t>
            </w:r>
            <w:r/>
          </w:p>
        </w:tc>
        <w:tc>
          <w:tcPr>
            <w:tcBorders>
              <w:top w:val="single" w:color="000000" w:sz="4" w:space="0"/>
              <w:left w:val="single" w:color="000000" w:sz="4"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绿地内杂草不及时清除扣2分/次，树穴、绿篱等不及时切边，草坪与树木、绿篱、草花等无明显隔沟扣1分/处，栽种农作物扣5分/处。</w:t>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3、树憂李整修，草坪内树穴与绿篱及时切边，草坪与树木、绿篱、草花应分隔沟。</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浇水排水</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4、根据实际，对绿化树木及草坪及时进行抗早浇水、喷水，确保正常生长。</w:t>
            </w:r>
            <w:r/>
          </w:p>
        </w:tc>
        <w:tc>
          <w:tcPr>
            <w:tcBorders>
              <w:top w:val="single" w:color="000000" w:sz="4" w:space="0"/>
              <w:left w:val="single" w:color="000000" w:sz="4"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未及时浇水、喷水，致使树木、草坪生长不良的扣1分/处，致植物枯死的加倍扣分;雨后绿地草坪有积水，扣1分/处。</w:t>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5、绿地内确保雨后积水及时排除，坑坑洼洼必须及时填平。</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技术工作（60分）</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施肥</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6、绿地、草坪、植物根据实际做到及时施肥，施肥方法适当，操作规范，用量合理，不产生肥害，施肥及时覆盖。</w:t>
            </w:r>
            <w:r>
              <w:rPr>
                <w:rFonts w:hint="eastAsia" w:ascii="宋体" w:hAnsi="宋体" w:cs="宋体"/>
                <w:szCs w:val="21"/>
                <w:lang w:bidi="ar"/>
              </w:rPr>
              <w:br/>
              <w:t xml:space="preserve">以农技农机站绿化技术员现场查勘为主。</w:t>
            </w:r>
            <w:r/>
          </w:p>
        </w:tc>
        <w:tc>
          <w:tcPr>
            <w:tcBorders>
              <w:top w:val="single" w:color="000000" w:sz="4" w:space="0"/>
              <w:left w:val="single" w:color="000000" w:sz="4" w:space="0"/>
              <w:bottom w:val="single" w:color="000000" w:sz="4" w:space="0"/>
              <w:right w:val="single" w:color="000000" w:sz="4" w:space="0"/>
            </w:tcBorders>
            <w:tcW w:w="28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不按规定及时施肥(以农技农机站人员现场签证为准)，扣1分/次；不及时覆盖，发现一处扣分，发生肥害，扣1分/处。</w:t>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绿化长势</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7、绿地内树木无死株、断枝及明显枯枝，乔木成活率 98%以上，灌木色块草坪基本无空缺。</w:t>
            </w:r>
            <w:r/>
          </w:p>
        </w:tc>
        <w:tc>
          <w:tcPr>
            <w:tcBorders>
              <w:top w:val="single" w:color="000000" w:sz="4" w:space="0"/>
              <w:left w:val="single" w:color="000000" w:sz="4"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绿化因管护不当造成乔灌木草坪成片死亡的，扣5 分/次；绿地内发现有死树枯枝未及时清除的扣2分/处；含绿化补缺标段对死亡空缺不主动按要求及时进行补缺的扣5分/次；正常情况下发现绿地内有树木倒伏的，扣1分/处；大风暴雨等自然灾害发生时，不及时对绿化进行抢险的，扣2分/次；对布置的临时性突击工作完成不力，扣2分/次。</w:t>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8、绿地内特殊原因造成乔灌木有缺株现象,应及时补缺，少数树种因季节不能及时补科除外。</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9、树木无倾斜、倒歪现象，高大乔木应采取防倒有效措施，因台风等灾害天气造成树木倒伏时，应及时扶正支撑倒伏树木，并及时完成110联动、环境整治、抢险等临时性突击工作。</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10、草坪应长势良好，无黄化及明显杂草未拔除迹象，草坪无空缺，如有空缺应及时重播或重铺。</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病虫防治</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11、发现病虫害应主动汇报。按规定使用农药，科学防治。</w:t>
            </w:r>
            <w:r/>
          </w:p>
        </w:tc>
        <w:tc>
          <w:tcPr>
            <w:tcBorders>
              <w:top w:val="single" w:color="000000" w:sz="4" w:space="0"/>
              <w:left w:val="single" w:color="000000" w:sz="4"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出现重点病虫危害证状，扣5分/次，造成严重危害的，扣8分/次，造成一定范围植株死亡的扣 12 分/次；防治不及时诱发社会矛盾及居民投拆的，扣5分/次:使用违禁农药的不得分。冬季不按规定要求对树木进行涂白的，扣5分。</w:t>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12、冬季按规定对树木进行涂白，及时清理消灭越冬虫蛹、虫茧及有关病原体。</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108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整枝修剪</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13、树木修剪规范整齐，定枝、整枝合理均匀:色块、绿篱短期修剪，不脱脚，不缺损，三面整齐平整，球类修剪圆整。</w:t>
            </w:r>
            <w:r/>
          </w:p>
        </w:tc>
        <w:tc>
          <w:tcPr>
            <w:tcBorders>
              <w:top w:val="single" w:color="000000" w:sz="4" w:space="0"/>
              <w:left w:val="single" w:color="000000" w:sz="4"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乔灌木、色块不适时修剪，扣2分/次;修剪质量达不到要求的,扣0.5 分/次；草坪不及时修剪扣1分/处；修剪面不平，边角有遗留，扣1分处；修剪后色斑明显，扣0.5分/处。</w:t>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14、草坪要适时进行修剪，保持一定高度，修剪面平整，边角无遗留，草屑及时扫尽运出。</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组织管理（10分）</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76"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其他</w:t>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15、管护组织制度全，工作有台帐，记录全面并及时上报。</w:t>
            </w:r>
            <w:r/>
          </w:p>
        </w:tc>
        <w:tc>
          <w:tcPr>
            <w:tcBorders>
              <w:top w:val="single" w:color="000000" w:sz="4" w:space="0"/>
              <w:left w:val="single" w:color="000000" w:sz="4" w:space="0"/>
              <w:bottom w:val="single" w:color="000000" w:sz="4" w:space="0"/>
              <w:right w:val="single" w:color="000000" w:sz="4" w:space="0"/>
            </w:tcBorders>
            <w:tcW w:w="282"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restart"/>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管护小结记录不及时，上报少不全，每次扣0.5分；无管护台帐，不得分。无养护计划、现场管理乱，发现一次扣1分，管护员不按要求安全作业，不得分，迟到一次扣0.5分;无故缺席一次扣1分；无故替开会一次扣0.5分，养护管理责任人经常变更不明确，扣1分;通讯不畅有一次扣1分；有转包现象不得分；提出问题，反映情况属实，有一次扣1分。</w:t>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16、严格按安全生产操作规程组织作业，养护管理规范。</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81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17、养护负责人按责任部门要求，准时参加会议紺堖这活动及各类业务培训。</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18、养护承包绿地无转包现象，发现破坏绿化现象能及时汇报。</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7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96" w:type="pct"/>
            <w:vAlign w:val="center"/>
            <w:textDirection w:val="lrTb"/>
            <w:noWrap w:val="false"/>
          </w:tcPr>
          <w:p>
            <w:pPr>
              <w:jc w:val="left"/>
              <w:widowControl/>
              <w:rPr>
                <w:rFonts w:hint="eastAsia" w:ascii="宋体" w:hAnsi="宋体" w:cs="宋体"/>
                <w:szCs w:val="21"/>
              </w:rPr>
            </w:pPr>
            <w:r>
              <w:rPr>
                <w:rFonts w:hint="eastAsia" w:ascii="宋体" w:hAnsi="宋体" w:cs="宋体"/>
                <w:szCs w:val="21"/>
                <w:lang w:bidi="ar"/>
              </w:rPr>
              <w:t xml:space="preserve">19、上级领导及相关部门、社区、居民反映管护存在问题。</w:t>
            </w:r>
            <w:r/>
          </w:p>
        </w:tc>
        <w:tc>
          <w:tcPr>
            <w:tcBorders>
              <w:top w:val="single" w:color="000000" w:sz="4" w:space="0"/>
              <w:left w:val="single" w:color="000000" w:sz="4" w:space="0"/>
              <w:bottom w:val="single" w:color="000000" w:sz="4" w:space="0"/>
              <w:right w:val="single" w:color="000000" w:sz="4" w:space="0"/>
            </w:tcBorders>
            <w:tcW w:w="28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045" w:type="pct"/>
            <w:vAlign w:val="center"/>
            <w:vMerge w:val="continue"/>
            <w:textDirection w:val="lrTb"/>
            <w:noWrap w:val="false"/>
          </w:tcPr>
          <w:p>
            <w:pPr>
              <w:jc w:val="left"/>
              <w:rPr>
                <w:rFonts w:hint="eastAsia" w:ascii="宋体" w:hAnsi="宋体" w:cs="宋体"/>
                <w:szCs w:val="21"/>
              </w:rPr>
            </w:pPr>
            <w:r>
              <w:rPr>
                <w:rFonts w:hint="eastAsia" w:ascii="宋体" w:hAnsi="宋体" w:cs="宋体"/>
                <w:szCs w:val="21"/>
              </w:rPr>
            </w:r>
            <w:r/>
          </w:p>
        </w:tc>
      </w:tr>
    </w:tbl>
    <w:p>
      <w:pPr>
        <w:ind w:firstLine="420"/>
        <w:spacing w:line="560" w:lineRule="exact"/>
        <w:widowControl/>
        <w:rPr>
          <w:rFonts w:hint="eastAsia" w:ascii="宋体" w:hAnsi="宋体" w:cs="宋体"/>
          <w:szCs w:val="21"/>
        </w:rPr>
      </w:pPr>
      <w:r>
        <w:rPr>
          <w:rFonts w:hint="eastAsia" w:ascii="宋体" w:hAnsi="宋体" w:cs="宋体"/>
          <w:szCs w:val="21"/>
        </w:rPr>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十五、双方权利义务</w:t>
      </w:r>
      <w:r/>
    </w:p>
    <w:p>
      <w:pPr>
        <w:ind w:firstLine="420"/>
        <w:spacing w:line="360" w:lineRule="auto"/>
        <w:widowControl/>
        <w:rPr>
          <w:rFonts w:hint="eastAsia" w:ascii="宋体" w:hAnsi="宋体" w:cs="宋体"/>
          <w:szCs w:val="21"/>
        </w:rPr>
      </w:pPr>
      <w:r>
        <w:rPr>
          <w:rFonts w:hint="eastAsia" w:ascii="宋体" w:hAnsi="宋体" w:cs="宋体"/>
          <w:szCs w:val="21"/>
        </w:rPr>
        <w:t xml:space="preserve">1.甲方权利义务</w:t>
      </w:r>
      <w:r/>
    </w:p>
    <w:p>
      <w:pPr>
        <w:ind w:firstLine="420"/>
        <w:spacing w:line="360" w:lineRule="auto"/>
        <w:widowControl/>
        <w:rPr>
          <w:rFonts w:hint="eastAsia" w:ascii="宋体" w:hAnsi="宋体" w:cs="宋体"/>
          <w:szCs w:val="21"/>
        </w:rPr>
      </w:pPr>
      <w:r>
        <w:rPr>
          <w:rFonts w:hint="eastAsia" w:ascii="宋体" w:hAnsi="宋体" w:cs="宋体"/>
          <w:szCs w:val="21"/>
        </w:rPr>
        <w:t xml:space="preserve">（1）负责施工现场的协调，在乙方进场施工前确保具备施工条件。</w:t>
      </w:r>
      <w:r/>
    </w:p>
    <w:p>
      <w:pPr>
        <w:ind w:firstLine="420"/>
        <w:spacing w:line="360" w:lineRule="auto"/>
        <w:widowControl/>
        <w:rPr>
          <w:rFonts w:hint="eastAsia" w:ascii="宋体" w:hAnsi="宋体" w:cs="宋体"/>
          <w:szCs w:val="21"/>
        </w:rPr>
      </w:pPr>
      <w:r>
        <w:rPr>
          <w:rFonts w:hint="eastAsia" w:ascii="宋体" w:hAnsi="宋体" w:cs="宋体"/>
          <w:szCs w:val="21"/>
        </w:rPr>
        <w:t xml:space="preserve">（2）向乙方提供施工过程中所需的技术资料、参数及图纸类信息。</w:t>
      </w:r>
      <w:r/>
    </w:p>
    <w:p>
      <w:pPr>
        <w:ind w:firstLine="420"/>
        <w:spacing w:line="360" w:lineRule="auto"/>
        <w:widowControl/>
        <w:rPr>
          <w:rFonts w:hint="eastAsia" w:ascii="宋体" w:hAnsi="宋体" w:cs="宋体"/>
          <w:szCs w:val="21"/>
        </w:rPr>
      </w:pPr>
      <w:r>
        <w:rPr>
          <w:rFonts w:hint="eastAsia" w:ascii="宋体" w:hAnsi="宋体" w:cs="宋体"/>
          <w:szCs w:val="21"/>
        </w:rPr>
        <w:t xml:space="preserve">（3）根据甲方绿化养护要求，对乙方提供的服务及履行本合同情况实行验收考核。</w:t>
      </w:r>
      <w:r/>
    </w:p>
    <w:p>
      <w:pPr>
        <w:ind w:firstLine="420"/>
        <w:spacing w:line="360" w:lineRule="auto"/>
        <w:widowControl/>
        <w:rPr>
          <w:rFonts w:hint="eastAsia" w:ascii="宋体" w:hAnsi="宋体" w:cs="宋体"/>
          <w:szCs w:val="21"/>
        </w:rPr>
      </w:pPr>
      <w:r>
        <w:rPr>
          <w:rFonts w:hint="eastAsia" w:ascii="宋体" w:hAnsi="宋体" w:cs="宋体"/>
          <w:szCs w:val="21"/>
        </w:rPr>
        <w:t xml:space="preserve">（4）因突发事件及重大活动，甲方有权调动乙方人员、设备，乙方应服从安排予以配合。</w:t>
      </w:r>
      <w:r/>
    </w:p>
    <w:p>
      <w:pPr>
        <w:ind w:firstLine="420"/>
        <w:spacing w:line="360" w:lineRule="auto"/>
        <w:widowControl/>
        <w:rPr>
          <w:rFonts w:hint="eastAsia" w:ascii="宋体" w:hAnsi="宋体" w:cs="宋体"/>
          <w:szCs w:val="21"/>
        </w:rPr>
      </w:pPr>
      <w:r>
        <w:rPr>
          <w:rFonts w:hint="eastAsia" w:ascii="宋体" w:hAnsi="宋体" w:cs="宋体"/>
          <w:szCs w:val="21"/>
        </w:rPr>
        <w:t xml:space="preserve">（5）按照合同约定付款方式及时支付工程款。</w:t>
      </w:r>
      <w:r/>
    </w:p>
    <w:p>
      <w:pPr>
        <w:ind w:firstLine="420"/>
        <w:spacing w:line="360" w:lineRule="auto"/>
        <w:widowControl/>
        <w:rPr>
          <w:rFonts w:hint="eastAsia" w:ascii="宋体" w:hAnsi="宋体" w:cs="宋体"/>
          <w:szCs w:val="21"/>
        </w:rPr>
      </w:pPr>
      <w:r>
        <w:rPr>
          <w:rFonts w:hint="eastAsia" w:ascii="宋体" w:hAnsi="宋体" w:cs="宋体"/>
          <w:szCs w:val="21"/>
        </w:rPr>
        <w:t xml:space="preserve">2.乙方权利义务</w:t>
      </w:r>
      <w:r/>
    </w:p>
    <w:p>
      <w:pPr>
        <w:ind w:firstLine="420"/>
        <w:spacing w:line="360" w:lineRule="auto"/>
        <w:widowControl/>
        <w:rPr>
          <w:rFonts w:hint="eastAsia" w:ascii="宋体" w:hAnsi="宋体" w:cs="宋体"/>
          <w:szCs w:val="21"/>
        </w:rPr>
      </w:pPr>
      <w:r>
        <w:rPr>
          <w:rFonts w:hint="eastAsia" w:ascii="宋体" w:hAnsi="宋体" w:cs="宋体"/>
          <w:szCs w:val="21"/>
        </w:rPr>
        <w:t xml:space="preserve">（1）乙方根据绿地养护作业技术规范、绿化养护作业质量标准和有关要求，积极主动保质保量地完成绿化养护作业工作。对管护范围内的所有绿化（包括花草、灌木、乔木等）成活率达100%（不可抗力除外），凡死、伤均由乙方无条件按原标准更换补植,并确保成活（不可抗力除外）。在树木、花木修枝剪叶整形中，对产生的残枝、残叶、杂草等必须随修随清，保证道路、公共绿地的环境整洁。</w:t>
      </w:r>
      <w:r/>
    </w:p>
    <w:p>
      <w:pPr>
        <w:ind w:firstLine="420"/>
        <w:spacing w:line="360" w:lineRule="auto"/>
        <w:widowControl/>
        <w:rPr>
          <w:rFonts w:hint="eastAsia" w:ascii="宋体" w:hAnsi="宋体" w:cs="宋体"/>
          <w:szCs w:val="21"/>
        </w:rPr>
      </w:pPr>
      <w:r>
        <w:rPr>
          <w:rFonts w:hint="eastAsia" w:ascii="宋体" w:hAnsi="宋体" w:cs="宋体"/>
          <w:szCs w:val="21"/>
        </w:rPr>
        <w:t xml:space="preserve">（2）乙方在作业过程中应采取安全措施，确保作业及其人员、材料、设备和设施的安全，防止因作业造成的人身伤害和财产损失。</w:t>
      </w:r>
      <w:r/>
    </w:p>
    <w:p>
      <w:pPr>
        <w:ind w:firstLine="420"/>
        <w:spacing w:line="360" w:lineRule="auto"/>
        <w:widowControl/>
        <w:rPr>
          <w:rFonts w:hint="eastAsia" w:ascii="宋体" w:hAnsi="宋体" w:cs="宋体"/>
          <w:szCs w:val="21"/>
        </w:rPr>
      </w:pPr>
      <w:r>
        <w:rPr>
          <w:rFonts w:hint="eastAsia" w:ascii="宋体" w:hAnsi="宋体" w:cs="宋体"/>
          <w:szCs w:val="21"/>
        </w:rPr>
        <w:t xml:space="preserve">（3）乙方应对其履行合同所雇佣的全部人员工伤事故承担责任。</w:t>
      </w:r>
      <w:r/>
    </w:p>
    <w:p>
      <w:pPr>
        <w:ind w:firstLine="420"/>
        <w:spacing w:line="360" w:lineRule="auto"/>
        <w:widowControl/>
        <w:rPr>
          <w:rFonts w:hint="eastAsia" w:ascii="宋体" w:hAnsi="宋体" w:cs="宋体"/>
          <w:szCs w:val="21"/>
        </w:rPr>
      </w:pPr>
      <w:r>
        <w:rPr>
          <w:rFonts w:hint="eastAsia" w:ascii="宋体" w:hAnsi="宋体" w:cs="宋体"/>
          <w:szCs w:val="21"/>
        </w:rPr>
        <w:t xml:space="preserve">（4）由于乙方原因在作业场地内造成的第三者人员伤亡和财产损失，由乙方负责赔偿。</w:t>
      </w:r>
      <w:r/>
    </w:p>
    <w:p>
      <w:pPr>
        <w:ind w:firstLine="420"/>
        <w:spacing w:line="360" w:lineRule="auto"/>
        <w:widowControl/>
        <w:rPr>
          <w:rFonts w:hint="eastAsia" w:ascii="宋体" w:hAnsi="宋体" w:cs="宋体"/>
          <w:szCs w:val="21"/>
        </w:rPr>
      </w:pPr>
      <w:r>
        <w:rPr>
          <w:rFonts w:hint="eastAsia" w:ascii="宋体" w:hAnsi="宋体" w:cs="宋体"/>
          <w:szCs w:val="21"/>
        </w:rPr>
        <w:t xml:space="preserve">（5）乙方需配备专职巡查人员，就下列项目展开巡查工作，专职巡视资料员日常巡查内容：</w:t>
      </w:r>
      <w:r/>
    </w:p>
    <w:p>
      <w:pPr>
        <w:ind w:firstLine="420"/>
        <w:spacing w:line="360" w:lineRule="auto"/>
        <w:widowControl/>
        <w:rPr>
          <w:rFonts w:hint="eastAsia" w:ascii="宋体" w:hAnsi="宋体" w:cs="宋体"/>
          <w:szCs w:val="21"/>
        </w:rPr>
      </w:pPr>
      <w:r>
        <w:rPr>
          <w:rFonts w:hint="eastAsia" w:ascii="宋体" w:hAnsi="宋体" w:cs="宋体"/>
          <w:szCs w:val="21"/>
        </w:rPr>
        <w:t xml:space="preserve">1）、作业区域有无私开、私挖现象；</w:t>
      </w:r>
      <w:r/>
    </w:p>
    <w:p>
      <w:pPr>
        <w:ind w:firstLine="420"/>
        <w:spacing w:line="360" w:lineRule="auto"/>
        <w:widowControl/>
        <w:rPr>
          <w:rFonts w:hint="eastAsia" w:ascii="宋体" w:hAnsi="宋体" w:cs="宋体"/>
          <w:szCs w:val="21"/>
        </w:rPr>
      </w:pPr>
      <w:r>
        <w:rPr>
          <w:rFonts w:hint="eastAsia" w:ascii="宋体" w:hAnsi="宋体" w:cs="宋体"/>
          <w:szCs w:val="21"/>
        </w:rPr>
        <w:t xml:space="preserve">2）、作业区域内各类绿化植物有无私自修剪现象；</w:t>
      </w:r>
      <w:r/>
    </w:p>
    <w:p>
      <w:pPr>
        <w:ind w:firstLine="420"/>
        <w:spacing w:line="360" w:lineRule="auto"/>
        <w:widowControl/>
        <w:rPr>
          <w:rFonts w:hint="eastAsia" w:ascii="宋体" w:hAnsi="宋体" w:cs="宋体"/>
          <w:szCs w:val="21"/>
        </w:rPr>
      </w:pPr>
      <w:r>
        <w:rPr>
          <w:rFonts w:hint="eastAsia" w:ascii="宋体" w:hAnsi="宋体" w:cs="宋体"/>
          <w:szCs w:val="21"/>
        </w:rPr>
        <w:t xml:space="preserve">3）、作业区域内有无苗木偷盗、绿化带毁绿种菜现象；</w:t>
      </w:r>
      <w:r/>
    </w:p>
    <w:p>
      <w:pPr>
        <w:ind w:firstLine="420"/>
        <w:spacing w:line="360" w:lineRule="auto"/>
        <w:widowControl/>
        <w:rPr>
          <w:rFonts w:hint="eastAsia" w:ascii="宋体" w:hAnsi="宋体" w:cs="宋体"/>
          <w:szCs w:val="21"/>
        </w:rPr>
      </w:pPr>
      <w:r>
        <w:rPr>
          <w:rFonts w:hint="eastAsia" w:ascii="宋体" w:hAnsi="宋体" w:cs="宋体"/>
          <w:szCs w:val="21"/>
        </w:rPr>
        <w:t xml:space="preserve">4）、作业区域内有无苗木死亡、空秃及病虫害现象；</w:t>
      </w:r>
      <w:r/>
    </w:p>
    <w:p>
      <w:pPr>
        <w:ind w:firstLine="420"/>
        <w:spacing w:line="360" w:lineRule="auto"/>
        <w:widowControl/>
        <w:rPr>
          <w:rFonts w:hint="eastAsia" w:ascii="宋体" w:hAnsi="宋体" w:cs="宋体"/>
          <w:szCs w:val="21"/>
        </w:rPr>
      </w:pPr>
      <w:r>
        <w:rPr>
          <w:rFonts w:hint="eastAsia" w:ascii="宋体" w:hAnsi="宋体" w:cs="宋体"/>
          <w:szCs w:val="21"/>
        </w:rPr>
        <w:t xml:space="preserve">5）、其他各类甲方另行规定的巡查内容。</w:t>
      </w:r>
      <w:r/>
    </w:p>
    <w:p>
      <w:pPr>
        <w:ind w:firstLine="422"/>
        <w:spacing w:line="360" w:lineRule="auto"/>
        <w:widowControl/>
        <w:rPr>
          <w:rFonts w:hint="eastAsia" w:ascii="宋体" w:hAnsi="宋体" w:cs="宋体"/>
          <w:b/>
          <w:bCs/>
          <w:szCs w:val="21"/>
        </w:rPr>
      </w:pPr>
      <w:r>
        <w:rPr>
          <w:rFonts w:hint="eastAsia" w:ascii="宋体" w:hAnsi="宋体" w:cs="宋体"/>
          <w:b/>
          <w:bCs/>
          <w:szCs w:val="21"/>
        </w:rPr>
        <w:t xml:space="preserve">十六、争议解决</w:t>
      </w:r>
      <w:r/>
    </w:p>
    <w:p>
      <w:pPr>
        <w:ind w:firstLine="420"/>
        <w:spacing w:line="360" w:lineRule="auto"/>
        <w:widowControl/>
        <w:rPr>
          <w:rFonts w:hint="eastAsia" w:ascii="宋体" w:hAnsi="宋体" w:cs="宋体"/>
          <w:szCs w:val="21"/>
        </w:rPr>
      </w:pPr>
      <w:r>
        <w:rPr>
          <w:rFonts w:hint="eastAsia" w:ascii="宋体" w:hAnsi="宋体" w:cs="宋体"/>
          <w:szCs w:val="21"/>
        </w:rPr>
        <w:t xml:space="preserve">甲、乙双方因履行本合同发生争议，协商未果，任何一方可向甲方所在地人民法院起诉。</w:t>
      </w:r>
      <w:r/>
    </w:p>
    <w:p>
      <w:pPr>
        <w:ind w:firstLine="422"/>
        <w:spacing w:line="360" w:lineRule="auto"/>
        <w:widowControl/>
        <w:rPr>
          <w:rFonts w:hint="eastAsia" w:ascii="宋体" w:hAnsi="宋体" w:cs="宋体"/>
          <w:szCs w:val="21"/>
        </w:rPr>
      </w:pPr>
      <w:r>
        <w:rPr>
          <w:rFonts w:hint="eastAsia" w:ascii="宋体" w:hAnsi="宋体" w:cs="宋体"/>
          <w:b/>
          <w:bCs/>
          <w:szCs w:val="21"/>
        </w:rPr>
        <w:t xml:space="preserve">十七、</w:t>
      </w:r>
      <w:r>
        <w:rPr>
          <w:rFonts w:hint="eastAsia" w:ascii="宋体" w:hAnsi="宋体" w:cs="宋体"/>
          <w:szCs w:val="21"/>
        </w:rPr>
        <w:t xml:space="preserve">本合同一式四份，甲乙双方各执二份。</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szCs w:val="21"/>
        </w:rPr>
        <w:t xml:space="preserve">本合同在执行过程中如出现未尽事宜，双方协商解决。</w:t>
      </w:r>
      <w:r/>
    </w:p>
    <w:p>
      <w:pPr>
        <w:pStyle w:val="1026"/>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1026"/>
      </w:pPr>
      <w:r/>
      <w:r/>
    </w:p>
    <w:p>
      <w:pPr>
        <w:ind w:firstLine="420"/>
        <w:jc w:val="left"/>
        <w:spacing w:line="360" w:lineRule="auto"/>
        <w:rPr>
          <w:rFonts w:hint="eastAsia" w:ascii="宋体" w:hAnsi="宋体" w:cs="宋体"/>
          <w:szCs w:val="21"/>
        </w:rPr>
      </w:pPr>
      <w:r>
        <w:rPr>
          <w:rFonts w:hint="eastAsia" w:ascii="宋体" w:hAnsi="宋体" w:cs="宋体"/>
          <w:szCs w:val="21"/>
        </w:rPr>
        <w:t xml:space="preserve">甲方：单位名称（章）：                乙方：单位名称（章）：</w:t>
      </w:r>
      <w:r/>
    </w:p>
    <w:p>
      <w:pPr>
        <w:ind w:firstLine="420"/>
        <w:jc w:val="left"/>
        <w:spacing w:line="360" w:lineRule="auto"/>
        <w:rPr>
          <w:rFonts w:hint="eastAsia" w:ascii="宋体" w:hAnsi="宋体" w:cs="宋体"/>
          <w:szCs w:val="21"/>
        </w:rPr>
      </w:pPr>
      <w:r>
        <w:rPr>
          <w:rFonts w:hint="eastAsia" w:ascii="宋体" w:hAnsi="宋体" w:cs="宋体"/>
          <w:szCs w:val="21"/>
        </w:rPr>
        <w:t xml:space="preserve">单位地址：                           单位地址： </w:t>
      </w:r>
      <w:r/>
    </w:p>
    <w:p>
      <w:pPr>
        <w:ind w:firstLine="420"/>
        <w:jc w:val="left"/>
        <w:spacing w:line="360" w:lineRule="auto"/>
        <w:rPr>
          <w:rFonts w:hint="eastAsia" w:ascii="宋体" w:hAnsi="宋体" w:cs="宋体"/>
          <w:szCs w:val="21"/>
        </w:rPr>
      </w:pPr>
      <w:r>
        <w:rPr>
          <w:rFonts w:hint="eastAsia" w:ascii="宋体" w:hAnsi="宋体" w:cs="宋体"/>
          <w:szCs w:val="21"/>
        </w:rPr>
        <w:t xml:space="preserve">法定代表人：                         法定代表人：</w:t>
      </w:r>
      <w:r/>
    </w:p>
    <w:p>
      <w:pPr>
        <w:ind w:firstLine="420"/>
        <w:jc w:val="left"/>
        <w:spacing w:line="360" w:lineRule="auto"/>
        <w:rPr>
          <w:rFonts w:hint="eastAsia" w:ascii="宋体" w:hAnsi="宋体" w:cs="宋体"/>
          <w:szCs w:val="21"/>
        </w:rPr>
      </w:pPr>
      <w:r>
        <w:rPr>
          <w:rFonts w:hint="eastAsia" w:ascii="宋体" w:hAnsi="宋体" w:cs="宋体"/>
          <w:szCs w:val="21"/>
        </w:rPr>
        <w:t xml:space="preserve">经办人：                             经办人：</w:t>
      </w:r>
      <w:r/>
    </w:p>
    <w:p>
      <w:pPr>
        <w:ind w:firstLine="420"/>
        <w:jc w:val="left"/>
        <w:spacing w:line="360" w:lineRule="auto"/>
        <w:rPr>
          <w:rFonts w:hint="eastAsia" w:ascii="宋体" w:hAnsi="宋体" w:cs="宋体"/>
          <w:szCs w:val="21"/>
        </w:rPr>
      </w:pPr>
      <w:r>
        <w:rPr>
          <w:rFonts w:hint="eastAsia" w:ascii="宋体" w:hAnsi="宋体" w:cs="宋体"/>
          <w:szCs w:val="21"/>
        </w:rPr>
        <w:t xml:space="preserve">电  话：                             电  话：</w:t>
      </w:r>
      <w:r/>
    </w:p>
    <w:p>
      <w:pPr>
        <w:jc w:val="left"/>
        <w:widowControl/>
        <w:rPr>
          <w:rFonts w:hint="eastAsia" w:ascii="宋体" w:hAnsi="宋体" w:cs="宋体"/>
          <w:szCs w:val="21"/>
        </w:rPr>
      </w:pPr>
      <w:r>
        <w:rPr>
          <w:rFonts w:hint="eastAsia" w:ascii="宋体" w:hAnsi="宋体" w:cs="宋体"/>
          <w:szCs w:val="21"/>
        </w:rPr>
      </w:r>
      <w:r/>
    </w:p>
    <w:p>
      <w:pPr>
        <w:ind w:firstLine="480"/>
        <w:jc w:val="left"/>
        <w:spacing w:line="360" w:lineRule="auto"/>
        <w:rPr>
          <w:rFonts w:hint="eastAsia" w:ascii="宋体" w:hAnsi="宋体" w:cs="宋体"/>
          <w:szCs w:val="21"/>
        </w:rPr>
        <w:sectPr>
          <w:footnotePr/>
          <w:endnotePr/>
          <w:type w:val="nextPage"/>
          <w:pgSz w:w="11906" w:h="16838" w:orient="portrait"/>
          <w:pgMar w:top="1440" w:right="1800" w:bottom="1440" w:left="1800" w:header="851" w:footer="992" w:gutter="0"/>
          <w:cols w:num="1" w:sep="0" w:space="0" w:equalWidth="1"/>
          <w:docGrid w:linePitch="360"/>
        </w:sectPr>
        <w:outlineLvl w:val="0"/>
      </w:pPr>
      <w:r>
        <w:rPr>
          <w:rFonts w:ascii="宋体" w:hAnsi="宋体" w:cs="宋体"/>
          <w:szCs w:val="21"/>
        </w:rPr>
        <w:t xml:space="preserve">以上</w:t>
      </w:r>
      <w:r>
        <w:rPr>
          <w:rFonts w:hint="eastAsia" w:ascii="宋体" w:hAnsi="宋体" w:cs="宋体"/>
          <w:szCs w:val="21"/>
        </w:rPr>
        <w:t xml:space="preserve">内容</w:t>
      </w:r>
      <w:r>
        <w:rPr>
          <w:rFonts w:ascii="宋体" w:hAnsi="宋体" w:cs="宋体"/>
          <w:szCs w:val="21"/>
        </w:rPr>
        <w:t xml:space="preserve">仅供</w:t>
      </w:r>
      <w:r>
        <w:rPr>
          <w:rFonts w:hint="eastAsia" w:ascii="宋体" w:hAnsi="宋体" w:cs="宋体"/>
          <w:szCs w:val="21"/>
        </w:rPr>
        <w:t xml:space="preserve">参考 具体以签订合同为准。</w:t>
      </w:r>
      <w:r/>
    </w:p>
    <w:p>
      <w:pPr>
        <w:pStyle w:val="1020"/>
      </w:pPr>
      <w:r/>
      <w:bookmarkStart w:id="521" w:name="_Toc2051"/>
      <w:r/>
      <w:bookmarkStart w:id="522" w:name="_Toc104818930"/>
      <w:r/>
      <w:bookmarkStart w:id="523" w:name="_Toc19810"/>
      <w:r/>
      <w:bookmarkStart w:id="524" w:name="_Toc11833"/>
      <w:r>
        <w:rPr>
          <w:rFonts w:hint="eastAsia"/>
        </w:rPr>
        <w:t xml:space="preserve">第七章</w:t>
      </w:r>
      <w:r>
        <w:rPr>
          <w:rFonts w:hint="eastAsia"/>
        </w:rPr>
        <w:t xml:space="preserve"> </w:t>
      </w:r>
      <w:r>
        <w:rPr>
          <w:rFonts w:hint="eastAsia"/>
        </w:rPr>
        <w:t xml:space="preserve">投标文件格式</w:t>
      </w:r>
      <w:bookmarkEnd w:id="521"/>
      <w:r/>
      <w:bookmarkEnd w:id="522"/>
      <w:r/>
      <w:bookmarkEnd w:id="523"/>
      <w:r/>
      <w:bookmarkEnd w:id="524"/>
      <w:r/>
      <w:r/>
    </w:p>
    <w:p>
      <w:pPr>
        <w:pStyle w:val="1076"/>
        <w:ind w:firstLine="482"/>
        <w:spacing w:line="360" w:lineRule="auto"/>
        <w:rPr>
          <w:rFonts w:hint="eastAsia" w:eastAsia="宋体" w:cs="宋体"/>
          <w:b/>
          <w:sz w:val="24"/>
          <w:szCs w:val="24"/>
        </w:rPr>
      </w:pPr>
      <w:r>
        <w:rPr>
          <w:rFonts w:hint="eastAsia" w:eastAsia="宋体" w:cs="宋体"/>
          <w:b/>
          <w:sz w:val="24"/>
          <w:szCs w:val="24"/>
        </w:rPr>
        <w:t xml:space="preserve">投标人编制文件须知</w:t>
      </w:r>
      <w:r/>
    </w:p>
    <w:p>
      <w:pPr>
        <w:pStyle w:val="1076"/>
        <w:ind w:firstLine="480"/>
        <w:spacing w:line="360" w:lineRule="auto"/>
        <w:rPr>
          <w:rFonts w:hint="eastAsia" w:eastAsia="宋体" w:cs="宋体"/>
          <w:sz w:val="24"/>
          <w:szCs w:val="24"/>
        </w:rPr>
      </w:pPr>
      <w:r>
        <w:rPr>
          <w:rFonts w:hint="eastAsia" w:eastAsia="宋体" w:cs="宋体"/>
          <w:sz w:val="24"/>
          <w:szCs w:val="24"/>
        </w:rPr>
        <w:t xml:space="preserve">1、投标人按照本部分的顺序编制投标文件（资格证明文件）、投标文件（商务技术文件），编制中涉及格式资料的，应按照本部分提供的内容和格式（所有表格的格式可扩展）填写提交。</w:t>
      </w:r>
      <w:r/>
    </w:p>
    <w:p>
      <w:pPr>
        <w:pStyle w:val="1076"/>
        <w:ind w:firstLine="480"/>
        <w:spacing w:line="360" w:lineRule="auto"/>
        <w:rPr>
          <w:rFonts w:hint="eastAsia" w:eastAsia="宋体" w:cs="宋体"/>
          <w:sz w:val="24"/>
          <w:szCs w:val="24"/>
        </w:rPr>
      </w:pPr>
      <w:r>
        <w:rPr>
          <w:rFonts w:hint="eastAsia" w:eastAsia="宋体" w:cs="宋体"/>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p>
    <w:p>
      <w:pPr>
        <w:pStyle w:val="1076"/>
        <w:ind w:firstLine="480"/>
        <w:spacing w:line="360" w:lineRule="auto"/>
        <w:rPr>
          <w:rFonts w:hint="eastAsia" w:eastAsia="宋体" w:cs="宋体"/>
          <w:sz w:val="24"/>
          <w:szCs w:val="24"/>
        </w:rPr>
      </w:pPr>
      <w:r>
        <w:rPr>
          <w:rFonts w:hint="eastAsia" w:eastAsia="宋体" w:cs="宋体"/>
          <w:sz w:val="24"/>
          <w:szCs w:val="24"/>
        </w:rPr>
        <w:t xml:space="preserve">3、全部声明和问题的回答及所附材料必须是真实的、准确的和完整的。</w:t>
      </w:r>
      <w:r/>
    </w:p>
    <w:p>
      <w:pPr>
        <w:pStyle w:val="1076"/>
        <w:ind w:firstLine="480"/>
        <w:spacing w:line="360" w:lineRule="auto"/>
        <w:rPr>
          <w:rFonts w:hint="eastAsia" w:eastAsia="宋体" w:cs="宋体"/>
          <w:sz w:val="24"/>
          <w:szCs w:val="24"/>
        </w:rPr>
        <w:sectPr>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eastAsia="宋体" w:cs="宋体"/>
          <w:sz w:val="24"/>
          <w:szCs w:val="24"/>
        </w:rPr>
        <w:t xml:space="preserve">4、实行电子化不见面交易方式的，加盖公章、签名等均通过投标文件编制工具加盖电子公章、签字、签章或印鉴。</w:t>
      </w:r>
      <w:r/>
    </w:p>
    <w:p>
      <w:pPr>
        <w:ind w:left="267" w:hanging="267"/>
        <w:spacing w:line="360" w:lineRule="auto"/>
        <w:rPr>
          <w:rFonts w:hint="eastAsia" w:ascii="宋体" w:hAnsi="宋体" w:cs="宋体"/>
          <w:b/>
          <w:sz w:val="24"/>
        </w:rPr>
      </w:pPr>
      <w:r>
        <w:rPr>
          <w:rFonts w:hint="eastAsia" w:ascii="宋体" w:hAnsi="宋体" w:cs="宋体"/>
          <w:b/>
          <w:spacing w:val="20"/>
          <w:sz w:val="24"/>
        </w:rPr>
        <w:t xml:space="preserve">投标文件</w:t>
      </w:r>
      <w:r>
        <w:rPr>
          <w:rFonts w:hint="eastAsia" w:ascii="宋体" w:hAnsi="宋体" w:cs="宋体"/>
          <w:b/>
          <w:sz w:val="24"/>
        </w:rPr>
        <w:t xml:space="preserve">封面（非实质性格式）</w:t>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t xml:space="preserve">投 标 文件</w:t>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left="915" w:hanging="915"/>
        <w:jc w:val="center"/>
        <w:spacing w:line="360" w:lineRule="auto"/>
        <w:rPr>
          <w:rFonts w:hint="eastAsia" w:ascii="宋体" w:hAnsi="宋体" w:cs="宋体"/>
          <w:b/>
          <w:spacing w:val="60"/>
          <w:sz w:val="84"/>
          <w:szCs w:val="84"/>
        </w:rPr>
      </w:pPr>
      <w:r>
        <w:rPr>
          <w:rFonts w:hint="eastAsia" w:ascii="宋体" w:hAnsi="宋体" w:cs="宋体"/>
          <w:b/>
          <w:spacing w:val="60"/>
          <w:sz w:val="84"/>
          <w:szCs w:val="84"/>
        </w:rPr>
      </w:r>
      <w:r/>
    </w:p>
    <w:p>
      <w:pPr>
        <w:ind w:firstLine="1084"/>
        <w:rPr>
          <w:rFonts w:hint="eastAsia" w:ascii="宋体" w:hAnsi="宋体" w:cs="宋体"/>
          <w:b/>
          <w:sz w:val="36"/>
        </w:rPr>
      </w:pPr>
      <w:r>
        <w:rPr>
          <w:rFonts w:hint="eastAsia" w:ascii="宋体" w:hAnsi="宋体" w:cs="宋体"/>
          <w:b/>
          <w:sz w:val="36"/>
        </w:rPr>
        <w:t xml:space="preserve">项 目 名 称：</w:t>
      </w:r>
      <w:r/>
    </w:p>
    <w:p>
      <w:pPr>
        <w:ind w:firstLine="1084"/>
        <w:rPr>
          <w:rFonts w:hint="eastAsia" w:ascii="宋体" w:hAnsi="宋体" w:cs="宋体"/>
          <w:b/>
          <w:sz w:val="36"/>
          <w:u w:val="single"/>
        </w:rPr>
      </w:pPr>
      <w:r>
        <w:rPr>
          <w:rFonts w:hint="eastAsia" w:ascii="宋体" w:hAnsi="宋体" w:cs="宋体"/>
          <w:b/>
          <w:sz w:val="36"/>
        </w:rPr>
        <w:t xml:space="preserve">项 目 编 号：</w:t>
      </w:r>
      <w:r/>
    </w:p>
    <w:p>
      <w:pPr>
        <w:ind w:firstLine="1084"/>
        <w:rPr>
          <w:rFonts w:hint="eastAsia" w:ascii="宋体" w:hAnsi="宋体" w:cs="宋体"/>
          <w:b/>
          <w:sz w:val="36"/>
        </w:rPr>
      </w:pPr>
      <w:r>
        <w:rPr>
          <w:rFonts w:hint="eastAsia" w:ascii="宋体" w:hAnsi="宋体" w:cs="宋体"/>
          <w:b/>
          <w:sz w:val="36"/>
        </w:rPr>
        <w:t xml:space="preserve">投标人名称 ：</w:t>
      </w:r>
      <w:r/>
    </w:p>
    <w:p>
      <w:pPr>
        <w:ind w:firstLine="1084"/>
        <w:rPr>
          <w:rFonts w:hint="eastAsia" w:ascii="宋体" w:hAnsi="宋体" w:cs="宋体"/>
          <w:b/>
          <w:sz w:val="36"/>
          <w:u w:val="single"/>
        </w:rPr>
      </w:pPr>
      <w:r>
        <w:rPr>
          <w:rFonts w:hint="eastAsia" w:ascii="宋体" w:hAnsi="宋体" w:cs="宋体"/>
          <w:b/>
          <w:sz w:val="36"/>
        </w:rPr>
        <w:t xml:space="preserve">日      期 ：</w:t>
      </w:r>
      <w:r/>
    </w:p>
    <w:p>
      <w:pPr>
        <w:ind w:left="343" w:hanging="343"/>
        <w:rPr>
          <w:rFonts w:hint="eastAsia" w:ascii="宋体" w:hAnsi="宋体" w:cs="宋体"/>
          <w:b/>
          <w:sz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sz w:val="36"/>
        </w:rPr>
      </w:r>
      <w:r/>
    </w:p>
    <w:p>
      <w:pPr>
        <w:ind w:left="267" w:hanging="267"/>
        <w:spacing w:line="360" w:lineRule="auto"/>
        <w:rPr>
          <w:rFonts w:hint="eastAsia" w:ascii="宋体" w:hAnsi="宋体" w:cs="宋体"/>
          <w:sz w:val="28"/>
          <w:szCs w:val="28"/>
        </w:rPr>
        <w:outlineLvl w:val="2"/>
      </w:pPr>
      <w:r>
        <w:rPr>
          <w:rFonts w:hint="eastAsia" w:ascii="宋体" w:hAnsi="宋体" w:cs="宋体"/>
          <w:b/>
          <w:sz w:val="28"/>
          <w:szCs w:val="28"/>
        </w:rPr>
        <w:t xml:space="preserve">一、资格证明文件</w:t>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1 </w:t>
      </w:r>
      <w:r>
        <w:rPr>
          <w:rFonts w:hint="eastAsia" w:ascii="宋体" w:hAnsi="宋体" w:cs="宋体"/>
          <w:sz w:val="24"/>
        </w:rPr>
        <w:t xml:space="preserve">满足《中华人民共和国政府采购法》第二十二条规定及法律法规的其他规定</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1-1投标人资格声明函（实质性格式）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投标人资格声明函</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致：常州金诚招投标有限公司</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（采购人名称）</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按照《中华人民共和国政府采购法》第二十二条和招标文件的规定，我单位郑重声明如下：</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一、我单位是按照中华人民共和国法律规定登记注册的，注册地点为</w:t>
      </w:r>
      <w:r>
        <w:rPr>
          <w:rFonts w:hint="eastAsia" w:ascii="宋体" w:hAnsi="宋体" w:cs="宋体"/>
          <w:bCs/>
          <w:sz w:val="24"/>
          <w:u w:val="single"/>
        </w:rPr>
        <w:t xml:space="preserve">     </w:t>
      </w:r>
      <w:r>
        <w:rPr>
          <w:rFonts w:hint="eastAsia" w:ascii="宋体" w:hAnsi="宋体" w:cs="宋体"/>
          <w:bCs/>
          <w:sz w:val="24"/>
        </w:rPr>
        <w:t xml:space="preserve">，全称为</w:t>
      </w:r>
      <w:r>
        <w:rPr>
          <w:rFonts w:hint="eastAsia" w:ascii="宋体" w:hAnsi="宋体" w:cs="宋体"/>
          <w:bCs/>
          <w:sz w:val="24"/>
          <w:u w:val="single"/>
        </w:rPr>
        <w:t xml:space="preserve">       </w:t>
      </w:r>
      <w:r>
        <w:rPr>
          <w:rFonts w:hint="eastAsia" w:ascii="宋体" w:hAnsi="宋体" w:cs="宋体"/>
          <w:bCs/>
          <w:sz w:val="24"/>
        </w:rPr>
        <w:t xml:space="preserve">，统一社会信用代码为</w:t>
      </w:r>
      <w:r>
        <w:rPr>
          <w:rFonts w:hint="eastAsia" w:ascii="宋体" w:hAnsi="宋体" w:cs="宋体"/>
          <w:bCs/>
          <w:sz w:val="24"/>
          <w:u w:val="single"/>
        </w:rPr>
        <w:t xml:space="preserve">     </w:t>
      </w:r>
      <w:r>
        <w:rPr>
          <w:rFonts w:hint="eastAsia" w:ascii="宋体" w:hAnsi="宋体" w:cs="宋体"/>
          <w:bCs/>
          <w:sz w:val="24"/>
        </w:rPr>
        <w:t xml:space="preserve">，法定代表人（单位负责人）为</w:t>
      </w:r>
      <w:r>
        <w:rPr>
          <w:rFonts w:hint="eastAsia" w:ascii="宋体" w:hAnsi="宋体" w:cs="宋体"/>
          <w:bCs/>
          <w:sz w:val="24"/>
          <w:u w:val="single"/>
        </w:rPr>
        <w:t xml:space="preserve">      </w:t>
      </w:r>
      <w:r>
        <w:rPr>
          <w:rFonts w:hint="eastAsia" w:ascii="宋体" w:hAnsi="宋体" w:cs="宋体"/>
          <w:bCs/>
          <w:sz w:val="24"/>
        </w:rPr>
        <w:t xml:space="preserve">，具有独立承担民事责任的能力</w:t>
      </w:r>
      <w:r>
        <w:rPr>
          <w:rFonts w:hint="eastAsia" w:ascii="宋体" w:hAnsi="宋体" w:cs="宋体"/>
          <w:b/>
          <w:sz w:val="24"/>
        </w:rPr>
        <w:t xml:space="preserve">（如属于分公司经总公司授权参与项目，由总公司承担民事责任的，需提供总公司项目授权书）</w:t>
      </w:r>
      <w:r>
        <w:rPr>
          <w:rFonts w:hint="eastAsia" w:ascii="宋体" w:hAnsi="宋体" w:cs="宋体"/>
          <w:bCs/>
          <w:sz w:val="24"/>
        </w:rPr>
        <w:t xml:space="preserve">。</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二、我单位具有良好的商业信誉（指投标人经营状况良好，无本资格声明第十条情形）和健全的财务会计制度。</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三、我单位依法进行纳税和社会保险申报并实际履行了义务。</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四、我单位具有履行本项目采购合同所必需的设备和专业技术能力，并具有履行合同的良好记录。为履行本项采购合同我单位具备如下主要设备和主要专业技术能力:</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六、我单位具备法律、行政法规规定的其他条件。</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七、与我单位存在“单位负责人为同一人或者存在直接控股、管理关系”的其他单位信息如下（如无此情形的，填写“无”）：</w:t>
      </w:r>
      <w:r/>
    </w:p>
    <w:p>
      <w:pPr>
        <w:contextualSpacing/>
        <w:ind w:firstLine="480"/>
        <w:spacing w:line="360" w:lineRule="auto"/>
        <w:rPr>
          <w:rFonts w:hint="eastAsia" w:ascii="宋体" w:hAnsi="宋体" w:cs="宋体"/>
          <w:bCs/>
          <w:sz w:val="24"/>
          <w:u w:val="single"/>
        </w:rPr>
      </w:pPr>
      <w:r>
        <w:rPr>
          <w:rFonts w:hint="eastAsia" w:ascii="宋体" w:hAnsi="宋体" w:cs="宋体"/>
          <w:bCs/>
          <w:sz w:val="24"/>
        </w:rPr>
        <w:t xml:space="preserve">1、与我单位的法定代表人（单位负责人）为同一人的其他单位如下：</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2、我单位直接控股的其他单位如下：</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3、与我单位存在管理关系的其他单位如下：</w:t>
      </w:r>
      <w:r>
        <w:rPr>
          <w:rFonts w:hint="eastAsia" w:ascii="宋体" w:hAnsi="宋体" w:cs="宋体"/>
          <w:bCs/>
          <w:sz w:val="24"/>
          <w:u w:val="single"/>
        </w:rPr>
        <w:t xml:space="preserve">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八、我单位不属于为本项目提供整体设计、规范编制或者项目管理、监理、检测等服务的投标人。</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九、我单位无以下不良信用记录情形：</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1、在“信用中国”网站被列入失信被执行人和重大税收违法案件当事人名单；</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2、在“中国政府采购网”网站被列入政府采购严重违法失信行为记录名单；</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3、不符合《政府采购法》第二十二条规定的条件。</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我单位保证上述声明的事项都是真实的，如有虚假，我单位愿意承担相应的法律责任，并承担因此所造成的一切损失</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jc w:val="left"/>
        <w:spacing w:line="360" w:lineRule="auto"/>
        <w:rPr>
          <w:rFonts w:hint="eastAsia" w:ascii="宋体" w:hAnsi="宋体" w:cs="宋体"/>
          <w:bCs/>
          <w:sz w:val="24"/>
        </w:rPr>
      </w:pPr>
      <w:r>
        <w:rPr>
          <w:rFonts w:hint="eastAsia" w:ascii="宋体" w:hAnsi="宋体" w:cs="宋体"/>
          <w:bCs/>
          <w:sz w:val="24"/>
        </w:rPr>
        <w:t xml:space="preserve">投标人：（加盖公章）</w:t>
      </w:r>
      <w:r/>
    </w:p>
    <w:p>
      <w:pPr>
        <w:contextualSpacing/>
        <w:ind w:firstLine="480"/>
        <w:jc w:val="left"/>
        <w:spacing w:line="360" w:lineRule="auto"/>
        <w:rPr>
          <w:rFonts w:hint="eastAsia" w:ascii="宋体" w:hAnsi="宋体" w:cs="宋体"/>
          <w:bCs/>
          <w:sz w:val="24"/>
        </w:rPr>
      </w:pPr>
      <w:r>
        <w:rPr>
          <w:rFonts w:hint="eastAsia" w:ascii="宋体" w:hAnsi="宋体" w:cs="宋体"/>
          <w:bCs/>
          <w:sz w:val="24"/>
        </w:rPr>
        <w:t xml:space="preserve">法定代表人（或单位负责人）签字或盖章：</w:t>
      </w:r>
      <w:r/>
    </w:p>
    <w:p>
      <w:pPr>
        <w:contextualSpacing/>
        <w:ind w:firstLine="480"/>
        <w:jc w:val="left"/>
        <w:spacing w:line="360" w:lineRule="auto"/>
        <w:rPr>
          <w:rFonts w:hint="eastAsia" w:ascii="宋体" w:hAnsi="宋体" w:cs="宋体"/>
          <w:bCs/>
          <w:sz w:val="24"/>
        </w:rPr>
      </w:pPr>
      <w:r>
        <w:rPr>
          <w:rFonts w:hint="eastAsia" w:ascii="宋体" w:hAnsi="宋体" w:cs="宋体"/>
          <w:bCs/>
          <w:sz w:val="24"/>
        </w:rPr>
        <w:t xml:space="preserve">日期：    年    月    日</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说明：投标人承诺不实的，依据《政府采购法》第七十七条“提供虚假材料谋取中标、成交的”有关规定予以处理。</w:t>
      </w:r>
      <w:r/>
    </w:p>
    <w:p>
      <w:pPr>
        <w:ind w:left="228" w:hanging="228"/>
        <w:jc w:val="left"/>
        <w:spacing w:line="360" w:lineRule="auto"/>
        <w:widowControl/>
        <w:rPr>
          <w:rFonts w:hint="eastAsia" w:ascii="宋体" w:hAnsi="宋体" w:cs="宋体"/>
          <w:sz w:val="24"/>
          <w:szCs w:val="20"/>
        </w:rPr>
      </w:pPr>
      <w:r>
        <w:rPr>
          <w:rFonts w:hint="eastAsia" w:ascii="宋体" w:hAnsi="宋体" w:cs="宋体"/>
          <w:sz w:val="24"/>
          <w:szCs w:val="20"/>
        </w:rPr>
        <w:t xml:space="preserve">1-2 营业执照（实质性格式）</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投标人为法人或者其他组织的营业执照等证明文件</w:t>
      </w:r>
      <w:r>
        <w:rPr>
          <w:rFonts w:hint="eastAsia" w:ascii="宋体" w:hAnsi="宋体" w:cs="宋体"/>
          <w:sz w:val="24"/>
        </w:rPr>
        <w:t xml:space="preserve">扫描件</w:t>
      </w:r>
      <w:r>
        <w:rPr>
          <w:rFonts w:hint="eastAsia" w:ascii="宋体" w:hAnsi="宋体" w:cs="宋体"/>
          <w:bCs/>
          <w:sz w:val="24"/>
        </w:rPr>
        <w:t xml:space="preserve">加盖公章，投标人为自然人提供营业执照（如有）及身份证明</w:t>
      </w:r>
      <w:r>
        <w:rPr>
          <w:rFonts w:hint="eastAsia" w:ascii="宋体" w:hAnsi="宋体" w:cs="宋体"/>
          <w:sz w:val="24"/>
        </w:rPr>
        <w:t xml:space="preserve">扫描件</w:t>
      </w:r>
      <w:r>
        <w:rPr>
          <w:rFonts w:hint="eastAsia" w:ascii="宋体" w:hAnsi="宋体" w:cs="宋体"/>
          <w:bCs/>
          <w:sz w:val="24"/>
        </w:rPr>
        <w:t xml:space="preserve">加盖公章（双面）。</w:t>
      </w:r>
      <w:r/>
    </w:p>
    <w:p>
      <w:pPr>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br w:type="page" w:clear="all"/>
      </w:r>
      <w:r/>
    </w:p>
    <w:p>
      <w:pPr>
        <w:spacing w:line="360" w:lineRule="auto"/>
        <w:rPr>
          <w:rFonts w:hint="eastAsia" w:asciiTheme="minorEastAsia" w:hAnsiTheme="minorEastAsia"/>
          <w:sz w:val="24"/>
          <w:szCs w:val="24"/>
        </w:rPr>
        <w:outlineLvl w:val="2"/>
      </w:pPr>
      <w:r>
        <w:rPr>
          <w:rFonts w:hint="eastAsia" w:asciiTheme="minorEastAsia" w:hAnsiTheme="minorEastAsia"/>
          <w:sz w:val="24"/>
          <w:szCs w:val="24"/>
        </w:rPr>
        <w:t xml:space="preserve">2</w:t>
      </w:r>
      <w:r>
        <w:rPr>
          <w:rFonts w:asciiTheme="minorEastAsia" w:hAnsiTheme="minorEastAsia"/>
          <w:sz w:val="24"/>
          <w:szCs w:val="24"/>
        </w:rPr>
        <w:t xml:space="preserve"> </w:t>
      </w:r>
      <w:r>
        <w:rPr>
          <w:rFonts w:asciiTheme="minorEastAsia" w:hAnsiTheme="minorEastAsia"/>
          <w:sz w:val="24"/>
          <w:szCs w:val="24"/>
        </w:rPr>
        <w:t xml:space="preserve">落实政府采购政策需满足的资格要求</w:t>
      </w:r>
      <w:r/>
    </w:p>
    <w:p>
      <w:pPr>
        <w:ind w:left="228" w:hanging="228"/>
        <w:spacing w:line="360" w:lineRule="auto"/>
        <w:rPr>
          <w:rFonts w:hint="eastAsia" w:asciiTheme="minorEastAsia" w:hAnsiTheme="minorEastAsia"/>
          <w:sz w:val="24"/>
        </w:rPr>
        <w:outlineLvl w:val="2"/>
      </w:pPr>
      <w:r>
        <w:rPr>
          <w:rFonts w:hint="eastAsia" w:asciiTheme="minorEastAsia" w:hAnsiTheme="minorEastAsia"/>
          <w:sz w:val="24"/>
          <w:szCs w:val="24"/>
        </w:rPr>
        <w:t xml:space="preserve">2-1</w:t>
      </w:r>
      <w:r>
        <w:rPr>
          <w:rFonts w:asciiTheme="minorEastAsia" w:hAnsiTheme="minorEastAsia"/>
          <w:sz w:val="24"/>
        </w:rPr>
        <w:t xml:space="preserve">中小企业声明函</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说明：</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1</w:t>
      </w:r>
      <w:r>
        <w:rPr>
          <w:rFonts w:hint="eastAsia" w:asciiTheme="minorEastAsia" w:hAnsiTheme="minorEastAsia"/>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2</w:t>
      </w:r>
      <w:r>
        <w:rPr>
          <w:rFonts w:hint="eastAsia" w:asciiTheme="minorEastAsia" w:hAnsiTheme="minorEastAsia"/>
          <w:sz w:val="24"/>
        </w:rPr>
        <w:t xml:space="preserve">）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3</w:t>
      </w:r>
      <w:r>
        <w:rPr>
          <w:rFonts w:hint="eastAsia" w:asciiTheme="minorEastAsia" w:hAnsiTheme="minorEastAsia"/>
          <w:sz w:val="24"/>
        </w:rPr>
        <w:t xml:space="preserve">）对于多标的的采购项目，投标人应充分、准确地了解所投产品制造企业信息。对相关情况了解不清楚的，不建议填报本声明函。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4</w:t>
      </w:r>
      <w:r>
        <w:rPr>
          <w:rFonts w:hint="eastAsia" w:asciiTheme="minorEastAsia" w:hAnsiTheme="minorEastAsia"/>
          <w:sz w:val="24"/>
        </w:rPr>
        <w:t xml:space="preserve">）中小企业认定标准以《关于印发中小企业划型标准规定的通知》（工信部联企业〔</w:t>
      </w:r>
      <w:r>
        <w:rPr>
          <w:rFonts w:hint="eastAsia" w:asciiTheme="minorEastAsia" w:hAnsiTheme="minorEastAsia"/>
          <w:sz w:val="24"/>
        </w:rPr>
        <w:t xml:space="preserve">2011</w:t>
      </w:r>
      <w:r>
        <w:rPr>
          <w:rFonts w:hint="eastAsia" w:asciiTheme="minorEastAsia" w:hAnsiTheme="minorEastAsia"/>
          <w:sz w:val="24"/>
        </w:rPr>
        <w:t xml:space="preserve">〕</w:t>
      </w:r>
      <w:r>
        <w:rPr>
          <w:rFonts w:hint="eastAsia" w:asciiTheme="minorEastAsia" w:hAnsiTheme="minorEastAsia"/>
          <w:sz w:val="24"/>
        </w:rPr>
        <w:t xml:space="preserve">300</w:t>
      </w:r>
      <w:r>
        <w:rPr>
          <w:rFonts w:hint="eastAsia" w:asciiTheme="minorEastAsia" w:hAnsiTheme="minorEastAsia"/>
          <w:sz w:val="24"/>
        </w:rPr>
        <w:t xml:space="preserve">号）文件规定为准。</w:t>
      </w:r>
      <w:r/>
    </w:p>
    <w:p>
      <w:pPr>
        <w:ind w:firstLine="480"/>
        <w:spacing w:line="360" w:lineRule="auto"/>
        <w:tabs>
          <w:tab w:val="left" w:pos="5580" w:leader="none"/>
        </w:tabs>
        <w:rPr>
          <w:rFonts w:hint="eastAsia" w:asciiTheme="minorEastAsia" w:hAnsiTheme="minorEastAsia"/>
          <w:sz w:val="24"/>
        </w:rPr>
      </w:pPr>
      <w:r>
        <w:rPr>
          <w:rFonts w:hint="eastAsia" w:asciiTheme="minorEastAsia" w:hAnsiTheme="minorEastAsia"/>
          <w:sz w:val="24"/>
        </w:rPr>
        <w:t xml:space="preserve">5</w:t>
      </w:r>
      <w:r>
        <w:rPr>
          <w:rFonts w:hint="eastAsia" w:asciiTheme="minorEastAsia" w:hAnsiTheme="minor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Theme="minorEastAsia" w:hAnsiTheme="minorEastAsia"/>
          <w:sz w:val="24"/>
        </w:rPr>
        <w:t xml:space="preserve">http://202.106.120.146/baosong/appweb/orgScale.html</w:t>
      </w:r>
      <w:r>
        <w:rPr>
          <w:rFonts w:hint="eastAsia" w:asciiTheme="minorEastAsia" w:hAnsiTheme="minorEastAsia"/>
          <w:sz w:val="24"/>
        </w:rPr>
        <w:t xml:space="preserve">）</w:t>
      </w:r>
      <w:r/>
    </w:p>
    <w:p>
      <w:pPr>
        <w:ind w:firstLine="480"/>
        <w:spacing w:line="360" w:lineRule="auto"/>
        <w:tabs>
          <w:tab w:val="left" w:pos="5580" w:leader="none"/>
        </w:tabs>
        <w:rPr>
          <w:rFonts w:hint="eastAsia" w:asciiTheme="minorEastAsia" w:hAnsiTheme="minorEastAsia"/>
          <w:b/>
          <w:sz w:val="24"/>
        </w:rPr>
      </w:pPr>
      <w:r>
        <w:rPr>
          <w:rFonts w:hint="eastAsia" w:asciiTheme="minorEastAsia" w:hAnsiTheme="minorEastAsia"/>
          <w:sz w:val="24"/>
        </w:rPr>
        <w:t xml:space="preserve">6</w:t>
      </w:r>
      <w:r>
        <w:rPr>
          <w:rFonts w:hint="eastAsia" w:asciiTheme="minorEastAsia" w:hAnsiTheme="minorEastAsia"/>
          <w:sz w:val="24"/>
        </w:rPr>
        <w:t xml:space="preserve">）</w:t>
      </w:r>
      <w:r>
        <w:rPr>
          <w:rFonts w:asciiTheme="minorEastAsia" w:hAnsiTheme="minorEastAsia"/>
          <w:b/>
          <w:sz w:val="24"/>
        </w:rPr>
        <w:t xml:space="preserve">在货物采购项目中，</w:t>
      </w:r>
      <w:r>
        <w:rPr>
          <w:rFonts w:hint="eastAsia" w:asciiTheme="minorEastAsia" w:hAnsiTheme="minorEastAsia"/>
          <w:b/>
          <w:sz w:val="24"/>
        </w:rPr>
        <w:t xml:space="preserve">投标人</w:t>
      </w:r>
      <w:r>
        <w:rPr>
          <w:rFonts w:asciiTheme="minorEastAsia" w:hAnsiTheme="minorEastAsia"/>
          <w:b/>
          <w:sz w:val="24"/>
        </w:rPr>
        <w:t xml:space="preserve">提供的货物既有中</w:t>
      </w:r>
      <w:r>
        <w:rPr>
          <w:rFonts w:hint="eastAsia" w:asciiTheme="minorEastAsia" w:hAnsiTheme="minorEastAsia"/>
          <w:b/>
          <w:sz w:val="24"/>
        </w:rPr>
        <w:t xml:space="preserve">型</w:t>
      </w:r>
      <w:r>
        <w:rPr>
          <w:rFonts w:asciiTheme="minorEastAsia" w:hAnsiTheme="minorEastAsia"/>
          <w:b/>
          <w:sz w:val="24"/>
        </w:rPr>
        <w:t xml:space="preserve">企业制造货物，也有</w:t>
      </w:r>
      <w:r>
        <w:rPr>
          <w:rFonts w:hint="eastAsia" w:asciiTheme="minorEastAsia" w:hAnsiTheme="minorEastAsia"/>
          <w:b/>
          <w:sz w:val="24"/>
        </w:rPr>
        <w:t xml:space="preserve">小微</w:t>
      </w:r>
      <w:r>
        <w:rPr>
          <w:rFonts w:asciiTheme="minorEastAsia" w:hAnsiTheme="minorEastAsia"/>
          <w:b/>
          <w:sz w:val="24"/>
        </w:rPr>
        <w:t xml:space="preserve">企业制造货物的，不享受</w:t>
      </w:r>
      <w:r>
        <w:rPr>
          <w:rFonts w:hint="eastAsia" w:asciiTheme="minorEastAsia" w:hAnsiTheme="minorEastAsia"/>
          <w:b/>
          <w:sz w:val="24"/>
        </w:rPr>
        <w:t xml:space="preserve">小微</w:t>
      </w:r>
      <w:r>
        <w:rPr>
          <w:rFonts w:asciiTheme="minorEastAsia" w:hAnsiTheme="minorEastAsia"/>
          <w:b/>
          <w:sz w:val="24"/>
        </w:rPr>
        <w:t xml:space="preserve">企业扶持政策</w:t>
      </w:r>
      <w:r>
        <w:rPr>
          <w:rFonts w:hint="eastAsia" w:asciiTheme="minorEastAsia" w:hAnsiTheme="minorEastAsia"/>
          <w:b/>
          <w:sz w:val="24"/>
        </w:rPr>
        <w:t xml:space="preserve">，不予价格扣除</w:t>
      </w:r>
      <w:r>
        <w:rPr>
          <w:rFonts w:asciiTheme="minorEastAsia" w:hAnsiTheme="minorEastAsia"/>
          <w:b/>
          <w:sz w:val="24"/>
        </w:rPr>
        <w:t xml:space="preserve">。</w:t>
      </w:r>
      <w:r/>
    </w:p>
    <w:p>
      <w:pPr>
        <w:contextualSpacing/>
        <w:ind w:firstLine="482"/>
        <w:spacing w:line="360" w:lineRule="auto"/>
        <w:rPr>
          <w:rFonts w:hint="eastAsia" w:asciiTheme="minorEastAsia" w:hAnsiTheme="minorEastAsia"/>
          <w:b/>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b/>
          <w:sz w:val="24"/>
        </w:rPr>
        <w:t xml:space="preserve">7</w:t>
      </w:r>
      <w:r>
        <w:rPr>
          <w:rFonts w:hint="eastAsia" w:asciiTheme="minorEastAsia" w:hAnsiTheme="minorEastAsia"/>
          <w:b/>
          <w:sz w:val="24"/>
        </w:rPr>
        <w:t xml:space="preserve">）小微企业未提供声明函的，价格分评审将不予价格扣除。</w:t>
      </w:r>
      <w:r/>
    </w:p>
    <w:p>
      <w:pPr>
        <w:jc w:val="center"/>
        <w:spacing w:before="312" w:after="312" w:line="360" w:lineRule="auto"/>
        <w:rPr>
          <w:rFonts w:hint="eastAsia" w:ascii="宋体" w:hAnsi="宋体"/>
          <w:b/>
          <w:bCs/>
          <w:sz w:val="36"/>
          <w:szCs w:val="36"/>
        </w:rPr>
      </w:pPr>
      <w:r>
        <w:rPr>
          <w:rFonts w:ascii="宋体" w:hAnsi="宋体"/>
          <w:b/>
          <w:bCs/>
          <w:sz w:val="36"/>
          <w:szCs w:val="36"/>
        </w:rPr>
        <w:t xml:space="preserve">中小企业声明函（工程、服务）格式</w:t>
      </w:r>
      <w:r/>
    </w:p>
    <w:p>
      <w:pPr>
        <w:ind w:left="220" w:right="415" w:firstLine="640"/>
        <w:jc w:val="left"/>
        <w:spacing w:line="360" w:lineRule="auto"/>
        <w:rPr>
          <w:rFonts w:hint="eastAsia"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Cs/>
          <w:sz w:val="24"/>
          <w:u w:val="single"/>
        </w:rPr>
        <w:t xml:space="preserve">（单位名称）</w:t>
      </w:r>
      <w:r>
        <w:rPr>
          <w:rFonts w:ascii="宋体" w:hAnsi="宋体"/>
          <w:iCs/>
          <w:sz w:val="24"/>
        </w:rPr>
        <w:t xml:space="preserve">的</w:t>
      </w:r>
      <w:r>
        <w:rPr>
          <w:rFonts w:ascii="宋体" w:hAnsi="宋体"/>
          <w:iCs/>
          <w:sz w:val="24"/>
          <w:u w:val="single"/>
        </w:rPr>
        <w:t xml:space="preserve">（项目名称</w:t>
      </w:r>
      <w:r>
        <w:rPr>
          <w:rFonts w:ascii="宋体" w:hAnsi="宋体"/>
          <w:i/>
          <w:sz w:val="24"/>
          <w:u w:val="single"/>
        </w:rPr>
        <w:t xml:space="preserve">）</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spacing w:line="360" w:lineRule="auto"/>
        <w:rPr>
          <w:rFonts w:hint="eastAsia" w:ascii="宋体" w:hAnsi="宋体"/>
          <w:bCs/>
          <w:sz w:val="24"/>
        </w:rPr>
      </w:pPr>
      <w:r>
        <w:rPr>
          <w:rFonts w:ascii="宋体" w:hAnsi="宋体"/>
          <w:bCs/>
          <w:sz w:val="24"/>
        </w:rPr>
        <w:t xml:space="preserve">1.（标的名称），属于（采购文件中明确的所属行业）行业；承建（承接）企业为（企业名称），从业人员______人，营业收入为______万元，资产总额为______万元1，属于（中型企业、小型企业、微型企业）；</w:t>
      </w:r>
      <w:r/>
    </w:p>
    <w:p>
      <w:pPr>
        <w:contextualSpacing/>
        <w:ind w:firstLine="480"/>
        <w:spacing w:line="360" w:lineRule="auto"/>
        <w:rPr>
          <w:rFonts w:hint="eastAsia" w:ascii="宋体" w:hAnsi="宋体"/>
          <w:bCs/>
          <w:sz w:val="24"/>
        </w:rPr>
      </w:pPr>
      <w:r>
        <w:rPr>
          <w:rFonts w:ascii="宋体" w:hAnsi="宋体"/>
          <w:bCs/>
          <w:sz w:val="24"/>
        </w:rPr>
        <w:t xml:space="preserve">2.（标的名称），属于（采购文件中明确的所属行业）行业；承建（承接）企业为（企业名称），从业人员______人，营业收入为______万元，资产总额为______万元，属于（中型企业、小型企业、微型企业）；</w:t>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ascii="宋体" w:hAnsi="宋体"/>
          <w:bCs/>
          <w:sz w:val="24"/>
        </w:rPr>
        <w:t xml:space="preserve">……</w:t>
      </w:r>
      <w:r/>
    </w:p>
    <w:p>
      <w:pPr>
        <w:contextualSpacing/>
        <w:ind w:firstLine="480"/>
        <w:spacing w:line="360" w:lineRule="auto"/>
        <w:rPr>
          <w:rFonts w:hint="eastAsia" w:ascii="宋体" w:hAnsi="宋体"/>
          <w:bCs/>
          <w:sz w:val="24"/>
        </w:rPr>
      </w:pPr>
      <w:r>
        <w:rPr>
          <w:rFonts w:ascii="宋体" w:hAnsi="宋体"/>
          <w:bCs/>
          <w:sz w:val="24"/>
        </w:rPr>
        <w:t xml:space="preserve">以上企业，不属于大企业的分支机构，不存在控股股东为大企业的情形，也不存在与大企业的负责人为同一人的情形。</w:t>
      </w:r>
      <w:r/>
    </w:p>
    <w:p>
      <w:pPr>
        <w:contextualSpacing/>
        <w:ind w:firstLine="480"/>
        <w:spacing w:line="360" w:lineRule="auto"/>
        <w:rPr>
          <w:rFonts w:hint="eastAsia" w:ascii="宋体" w:hAnsi="宋体"/>
          <w:bCs/>
          <w:sz w:val="24"/>
        </w:rPr>
      </w:pPr>
      <w:r>
        <w:rPr>
          <w:rFonts w:ascii="宋体" w:hAnsi="宋体"/>
          <w:bCs/>
          <w:sz w:val="24"/>
        </w:rPr>
        <w:t xml:space="preserve">本企业对上述声明内容的真实性负责。如有虚假，将依法承担相应责任。</w:t>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ascii="宋体" w:hAnsi="宋体"/>
          <w:bCs/>
          <w:sz w:val="24"/>
        </w:rPr>
        <w:t xml:space="preserve">企业名称（加盖公章）：________</w:t>
      </w:r>
      <w:r/>
    </w:p>
    <w:p>
      <w:pPr>
        <w:ind w:right="1320" w:firstLine="480"/>
        <w:spacing w:line="360" w:lineRule="auto"/>
        <w:rPr>
          <w:rFonts w:hint="eastAsia" w:ascii="宋体" w:hAnsi="宋体"/>
          <w:sz w:val="24"/>
        </w:rPr>
      </w:pPr>
      <w:r>
        <w:rPr>
          <w:rFonts w:ascii="宋体" w:hAnsi="宋体"/>
          <w:bCs/>
          <w:sz w:val="24"/>
        </w:rPr>
        <w:t xml:space="preserve">日 期：_______</w:t>
      </w:r>
      <w:r/>
    </w:p>
    <w:p>
      <w:pPr>
        <w:jc w:val="left"/>
        <w:rPr>
          <w:rFonts w:hint="eastAsia" w:ascii="宋体" w:hAnsi="宋体"/>
          <w:sz w:val="24"/>
          <w:szCs w:val="21"/>
        </w:rPr>
      </w:pPr>
      <w:r>
        <w:rPr>
          <w:rFonts w:hint="eastAsia" w:ascii="宋体" w:hAnsi="宋体"/>
          <w:sz w:val="24"/>
          <w:szCs w:val="21"/>
        </w:rPr>
      </w: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jc w:val="left"/>
              <w:rPr>
                <w:rFonts w:hint="eastAsia"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jc w:val="left"/>
        <w:rPr>
          <w:rFonts w:hint="eastAsia" w:ascii="宋体" w:hAnsi="宋体"/>
          <w:szCs w:val="21"/>
          <w:vertAlign w:val="superscript"/>
        </w:rPr>
      </w:pPr>
      <w:r>
        <w:rPr>
          <w:rFonts w:hint="eastAsia" w:ascii="宋体" w:hAnsi="宋体"/>
          <w:szCs w:val="21"/>
          <w:vertAlign w:val="superscript"/>
        </w:rPr>
      </w:r>
      <w:r/>
    </w:p>
    <w:p>
      <w:pPr>
        <w:contextualSpacing/>
        <w:ind w:firstLine="482"/>
        <w:spacing w:line="360" w:lineRule="auto"/>
        <w:rPr>
          <w:rFonts w:hint="eastAsia" w:asciiTheme="minorEastAsia" w:hAnsiTheme="minorEastAsia"/>
          <w:b/>
          <w:sz w:val="24"/>
        </w:rPr>
      </w:pPr>
      <w:r>
        <w:rPr>
          <w:rFonts w:hint="eastAsia" w:asciiTheme="minorEastAsia" w:hAnsiTheme="minorEastAsia"/>
          <w:b/>
          <w:sz w:val="24"/>
        </w:rPr>
      </w:r>
      <w:r/>
    </w:p>
    <w:p>
      <w:pPr>
        <w:rPr>
          <w:rFonts w:hint="eastAsia" w:asciiTheme="minorEastAsia" w:hAnsiTheme="minorEastAsia"/>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Theme="minorEastAsia" w:hAnsiTheme="minorEastAsia"/>
          <w:sz w:val="24"/>
        </w:rPr>
      </w:r>
      <w:r/>
    </w:p>
    <w:p>
      <w:pPr>
        <w:ind w:left="267" w:hanging="267"/>
        <w:jc w:val="center"/>
        <w:spacing w:line="360" w:lineRule="auto"/>
        <w:rPr>
          <w:rFonts w:hint="eastAsia" w:ascii="宋体" w:hAnsi="宋体"/>
          <w:b/>
          <w:sz w:val="28"/>
          <w:szCs w:val="28"/>
        </w:rPr>
      </w:pPr>
      <w:r>
        <w:rPr>
          <w:rFonts w:hint="eastAsia" w:ascii="宋体" w:hAnsi="宋体"/>
          <w:b/>
          <w:sz w:val="28"/>
          <w:szCs w:val="28"/>
        </w:rPr>
        <w:t xml:space="preserve">残疾人福利性单位声明函格式</w:t>
      </w:r>
      <w:r/>
    </w:p>
    <w:p>
      <w:pPr>
        <w:contextualSpacing/>
        <w:ind w:firstLine="480"/>
        <w:spacing w:line="360" w:lineRule="auto"/>
        <w:rPr>
          <w:rFonts w:hint="eastAsia" w:ascii="宋体" w:hAnsi="宋体"/>
          <w:bCs/>
          <w:sz w:val="24"/>
        </w:rPr>
      </w:pPr>
      <w:r>
        <w:rPr>
          <w:rFonts w:ascii="宋体" w:hAnsi="宋体"/>
          <w:bCs/>
          <w:sz w:val="24"/>
        </w:rPr>
        <w:t xml:space="preserve">本单位郑重声明，根据《财政部 民政部 中国残疾人联合会关于促进残疾人就业政府采购政策的通知》（财库〔2017〕 141号）的规定，本单位</w:t>
      </w:r>
      <w:r>
        <w:rPr>
          <w:rFonts w:ascii="宋体" w:hAnsi="宋体"/>
          <w:b/>
          <w:bCs/>
          <w:sz w:val="24"/>
        </w:rPr>
        <w:t xml:space="preserve">（请进行勾选）</w:t>
      </w:r>
      <w:r>
        <w:rPr>
          <w:rFonts w:ascii="宋体" w:hAnsi="宋体"/>
          <w:bCs/>
          <w:sz w:val="24"/>
        </w:rPr>
        <w:t xml:space="preserve">：</w:t>
      </w:r>
      <w:r/>
    </w:p>
    <w:p>
      <w:pPr>
        <w:contextualSpacing/>
        <w:ind w:firstLine="480"/>
        <w:spacing w:line="360" w:lineRule="auto"/>
        <w:rPr>
          <w:rFonts w:hint="eastAsia" w:ascii="宋体" w:hAnsi="宋体"/>
          <w:bCs/>
          <w:sz w:val="24"/>
        </w:rPr>
      </w:pPr>
      <w:r>
        <w:rPr>
          <w:rFonts w:ascii="宋体" w:hAnsi="宋体"/>
          <w:bCs/>
          <w:sz w:val="24"/>
        </w:rPr>
        <w:t xml:space="preserve">□不属于符合条件的残疾人福利性单位。</w:t>
      </w:r>
      <w:r/>
    </w:p>
    <w:p>
      <w:pPr>
        <w:contextualSpacing/>
        <w:ind w:firstLine="480"/>
        <w:spacing w:line="360" w:lineRule="auto"/>
        <w:rPr>
          <w:rFonts w:hint="eastAsia" w:ascii="宋体" w:hAnsi="宋体"/>
          <w:bCs/>
          <w:sz w:val="24"/>
        </w:rPr>
      </w:pPr>
      <w:r>
        <w:rPr>
          <w:rFonts w:ascii="宋体" w:hAnsi="宋体"/>
          <w:bCs/>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contextualSpacing/>
        <w:ind w:firstLine="480"/>
        <w:spacing w:line="360" w:lineRule="auto"/>
        <w:rPr>
          <w:rFonts w:hint="eastAsia" w:ascii="宋体" w:hAnsi="宋体"/>
          <w:bCs/>
          <w:sz w:val="24"/>
        </w:rPr>
      </w:pPr>
      <w:r>
        <w:rPr>
          <w:rFonts w:ascii="宋体" w:hAnsi="宋体"/>
          <w:bCs/>
          <w:sz w:val="24"/>
        </w:rPr>
        <w:t xml:space="preserve">本单位对上述声明的真实性负责。如有虚假，将依法承担相应责任。</w:t>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hint="eastAsia" w:ascii="宋体" w:hAnsi="宋体"/>
          <w:bCs/>
          <w:sz w:val="24"/>
        </w:rPr>
      </w:r>
      <w:r/>
    </w:p>
    <w:p>
      <w:pPr>
        <w:contextualSpacing/>
        <w:ind w:firstLine="480"/>
        <w:spacing w:line="360" w:lineRule="auto"/>
        <w:rPr>
          <w:rFonts w:hint="eastAsia" w:ascii="宋体" w:hAnsi="宋体"/>
          <w:bCs/>
          <w:sz w:val="24"/>
        </w:rPr>
      </w:pPr>
      <w:r>
        <w:rPr>
          <w:rFonts w:ascii="宋体" w:hAnsi="宋体"/>
          <w:bCs/>
          <w:sz w:val="24"/>
        </w:rPr>
        <w:t xml:space="preserve">单位名称（盖章）：</w:t>
      </w:r>
      <w:r/>
    </w:p>
    <w:p>
      <w:pPr>
        <w:contextualSpacing/>
        <w:ind w:firstLine="480"/>
        <w:spacing w:line="360" w:lineRule="auto"/>
        <w:rPr>
          <w:rFonts w:hint="eastAsia" w:ascii="宋体" w:hAnsi="宋体"/>
          <w:bCs/>
          <w:sz w:val="24"/>
        </w:rPr>
      </w:pPr>
      <w:r>
        <w:rPr>
          <w:rFonts w:ascii="宋体" w:hAnsi="宋体"/>
          <w:bCs/>
          <w:sz w:val="24"/>
        </w:rPr>
        <w:t xml:space="preserve">日  期：</w:t>
      </w:r>
      <w:r/>
    </w:p>
    <w:p>
      <w:pPr>
        <w:pStyle w:val="1026"/>
      </w:pPr>
      <w:r/>
      <w:r/>
    </w:p>
    <w:p>
      <w:pPr>
        <w:pStyle w:val="1026"/>
        <w:sectPr>
          <w:footnotePr/>
          <w:endnotePr/>
          <w:type w:val="nextPage"/>
          <w:pgSz w:w="11906" w:h="16838" w:orient="portrait"/>
          <w:pgMar w:top="1440" w:right="1800" w:bottom="1440" w:left="1800" w:header="851" w:footer="992" w:gutter="0"/>
          <w:cols w:num="1" w:sep="0" w:space="720" w:equalWidth="1"/>
          <w:docGrid w:linePitch="360"/>
        </w:sectPr>
      </w:pPr>
      <w:r/>
      <w:r/>
    </w:p>
    <w:p>
      <w:pPr>
        <w:ind w:left="267" w:hanging="267"/>
        <w:spacing w:line="360" w:lineRule="auto"/>
        <w:rPr>
          <w:rFonts w:hint="eastAsia" w:ascii="宋体" w:hAnsi="宋体" w:cs="宋体"/>
          <w:sz w:val="28"/>
          <w:szCs w:val="28"/>
        </w:rPr>
        <w:outlineLvl w:val="2"/>
      </w:pPr>
      <w:r>
        <w:rPr>
          <w:rFonts w:hint="eastAsia" w:ascii="宋体" w:hAnsi="宋体" w:cs="宋体"/>
          <w:b/>
          <w:sz w:val="28"/>
          <w:szCs w:val="28"/>
        </w:rPr>
        <w:t xml:space="preserve">二、商务技术文件格式</w:t>
      </w:r>
      <w:r/>
    </w:p>
    <w:p>
      <w:pPr>
        <w:ind w:left="228" w:hanging="228"/>
        <w:spacing w:line="360" w:lineRule="auto"/>
        <w:rPr>
          <w:rFonts w:hint="eastAsia" w:ascii="宋体" w:hAnsi="宋体" w:cs="宋体"/>
          <w:sz w:val="24"/>
          <w:szCs w:val="20"/>
        </w:rPr>
        <w:outlineLvl w:val="2"/>
      </w:pPr>
      <w:r>
        <w:rPr>
          <w:rFonts w:hint="eastAsia" w:ascii="宋体" w:hAnsi="宋体" w:cs="宋体"/>
          <w:sz w:val="24"/>
        </w:rPr>
        <w:t xml:space="preserve">1 投标函</w:t>
      </w:r>
      <w:r>
        <w:rPr>
          <w:rFonts w:hint="eastAsia" w:ascii="宋体" w:hAnsi="宋体" w:cs="宋体"/>
          <w:sz w:val="24"/>
          <w:szCs w:val="20"/>
        </w:rPr>
        <w:t xml:space="preserve">（实质性格式）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投标函</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致：常州金诚招投标有限公司</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（采购人名称）</w:t>
      </w:r>
      <w:r/>
    </w:p>
    <w:p>
      <w:pPr>
        <w:ind w:left="228" w:firstLine="48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我方参加你方就___________（项目名称，项目编号）组织的招标活动，并对此项目进行投标。</w:t>
      </w:r>
      <w:r/>
    </w:p>
    <w:p>
      <w:pPr>
        <w:ind w:left="228" w:hanging="228"/>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1. 我方</w:t>
      </w:r>
      <w:r>
        <w:rPr>
          <w:rFonts w:hint="eastAsia" w:ascii="宋体" w:hAnsi="宋体" w:cs="宋体"/>
          <w:sz w:val="24"/>
        </w:rPr>
        <w:t xml:space="preserve">已详细审查全部招标文件</w:t>
      </w:r>
      <w:r>
        <w:rPr>
          <w:rFonts w:hint="eastAsia" w:ascii="宋体" w:hAnsi="宋体" w:cs="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（1）本投标有效期为自提交投标文件的截止之日起</w:t>
      </w:r>
      <w:r>
        <w:rPr>
          <w:rFonts w:hint="eastAsia" w:ascii="宋体" w:hAnsi="宋体" w:cs="宋体"/>
          <w:sz w:val="24"/>
        </w:rPr>
        <w:t xml:space="preserve">60</w:t>
      </w:r>
      <w:r>
        <w:rPr>
          <w:rFonts w:hint="eastAsia" w:ascii="宋体" w:hAnsi="宋体" w:cs="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cs="宋体"/>
          <w:sz w:val="24"/>
          <w:szCs w:val="20"/>
        </w:rPr>
      </w:pPr>
      <w:r>
        <w:rPr>
          <w:rFonts w:hint="eastAsia" w:ascii="宋体" w:hAnsi="宋体" w:cs="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cs="宋体"/>
          <w:sz w:val="24"/>
          <w:szCs w:val="20"/>
        </w:rPr>
      </w:pPr>
      <w:r>
        <w:rPr>
          <w:rFonts w:hint="eastAsia" w:ascii="宋体" w:hAnsi="宋体" w:cs="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sz w:val="24"/>
        </w:rPr>
      </w:pPr>
      <w:r>
        <w:rPr>
          <w:rFonts w:hint="eastAsia" w:ascii="宋体" w:hAnsi="宋体" w:cs="宋体"/>
          <w:sz w:val="24"/>
          <w:szCs w:val="20"/>
        </w:rPr>
        <w:t xml:space="preserve">（4）如我方中标，我方将在法律规定的期限内与你方签订合同，按照招标文件要求提交履约保证金，并在合同约定的期限内完成合同规定的全部义务。</w:t>
      </w:r>
      <w:r/>
    </w:p>
    <w:p>
      <w:pPr>
        <w:ind w:left="228" w:hanging="228"/>
        <w:spacing w:line="360" w:lineRule="auto"/>
        <w:rPr>
          <w:rFonts w:hint="eastAsia" w:ascii="宋体" w:hAnsi="宋体" w:cs="宋体"/>
          <w:sz w:val="24"/>
        </w:rPr>
      </w:pPr>
      <w:r>
        <w:rPr>
          <w:rFonts w:hint="eastAsia" w:ascii="宋体" w:hAnsi="宋体" w:cs="宋体"/>
          <w:sz w:val="24"/>
        </w:rPr>
        <w:t xml:space="preserve">2. 其他补充条款（如有）：</w:t>
      </w:r>
      <w:r>
        <w:rPr>
          <w:rFonts w:hint="eastAsia" w:ascii="宋体" w:hAnsi="宋体" w:cs="宋体"/>
          <w:sz w:val="24"/>
          <w:szCs w:val="20"/>
        </w:rPr>
        <w:t xml:space="preserve">___________</w:t>
      </w:r>
      <w:r>
        <w:rPr>
          <w:rFonts w:hint="eastAsia" w:ascii="宋体" w:hAnsi="宋体" w:cs="宋体"/>
          <w:sz w:val="24"/>
        </w:rPr>
        <w:t xml:space="preserve">。</w:t>
      </w:r>
      <w:r/>
    </w:p>
    <w:p>
      <w:pPr>
        <w:contextualSpacing/>
        <w:ind w:firstLine="480"/>
        <w:spacing w:line="360" w:lineRule="auto"/>
        <w:rPr>
          <w:rFonts w:hint="eastAsia" w:ascii="宋体" w:hAnsi="宋体" w:cs="宋体"/>
          <w:bCs/>
          <w:sz w:val="24"/>
        </w:rPr>
      </w:pPr>
      <w:r>
        <w:rPr>
          <w:rFonts w:hint="eastAsia" w:ascii="宋体" w:hAnsi="宋体" w:cs="宋体"/>
          <w:sz w:val="24"/>
        </w:rPr>
        <w:t xml:space="preserve">与本投标有关的一切正式往来信函请寄：</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地址_________________________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传真_________________________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电话_________________________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电子函件_____________________</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投标名称（加盖公章） 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日期：_____年______月______日    </w:t>
      </w:r>
      <w:r/>
    </w:p>
    <w:p>
      <w:pPr>
        <w:contextualSpacing/>
        <w:ind w:left="228" w:hanging="228"/>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ind w:left="228" w:hanging="228"/>
        <w:spacing w:line="360" w:lineRule="auto"/>
        <w:rPr>
          <w:rFonts w:hint="eastAsia" w:ascii="宋体" w:hAnsi="宋体" w:cs="宋体"/>
          <w:sz w:val="24"/>
        </w:rPr>
        <w:outlineLvl w:val="2"/>
      </w:pPr>
      <w:r>
        <w:rPr>
          <w:rFonts w:hint="eastAsia" w:ascii="宋体" w:hAnsi="宋体" w:cs="宋体"/>
          <w:sz w:val="24"/>
        </w:rPr>
        <w:t xml:space="preserve">2 法定代表人资格证明书（实质性格式）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法定代表人资格证明书</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单位名称:</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地址:</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姓名:     性别:       年龄:      职务:</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系</w:t>
      </w:r>
      <w:r>
        <w:rPr>
          <w:rFonts w:hint="eastAsia" w:ascii="宋体" w:hAnsi="宋体" w:cs="宋体"/>
          <w:bCs/>
          <w:sz w:val="24"/>
          <w:u w:val="single"/>
        </w:rPr>
        <w:t xml:space="preserve">      </w:t>
      </w:r>
      <w:r>
        <w:rPr>
          <w:rFonts w:hint="eastAsia" w:ascii="宋体" w:hAnsi="宋体" w:cs="宋体"/>
          <w:bCs/>
          <w:sz w:val="24"/>
        </w:rPr>
        <w:t xml:space="preserve">（投标单位名称）的法定代表人。为参与</w:t>
      </w:r>
      <w:r>
        <w:rPr>
          <w:rFonts w:hint="eastAsia" w:ascii="宋体" w:hAnsi="宋体" w:cs="宋体"/>
          <w:bCs/>
          <w:sz w:val="24"/>
          <w:u w:val="single"/>
        </w:rPr>
        <w:t xml:space="preserve">      </w:t>
      </w:r>
      <w:r>
        <w:rPr>
          <w:rFonts w:hint="eastAsia" w:ascii="宋体" w:hAnsi="宋体" w:cs="宋体"/>
          <w:bCs/>
          <w:sz w:val="24"/>
        </w:rPr>
        <w:t xml:space="preserve">（项目名称）的政府采购活动，签署、澄清确认、递交、撤回、修改上述项目的投标文件、进行合同谈判、签署合同和处理与之有关的一切事务。</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特此证明。</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附：法定代表人（单位负责人）有效期内的身份证正反面</w:t>
      </w:r>
      <w:r>
        <w:rPr>
          <w:rFonts w:hint="eastAsia" w:ascii="宋体" w:hAnsi="宋体" w:cs="宋体"/>
          <w:sz w:val="24"/>
        </w:rPr>
        <w:t xml:space="preserve">扫描件</w:t>
      </w:r>
      <w:r>
        <w:rPr>
          <w:rFonts w:hint="eastAsia" w:ascii="宋体" w:hAnsi="宋体" w:cs="宋体"/>
          <w:bCs/>
          <w:sz w:val="24"/>
        </w:rPr>
        <w:t xml:space="preserve">。</w:t>
      </w:r>
      <w:r/>
    </w:p>
    <w:tbl>
      <w:tblPr>
        <w:tblW w:w="86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414"/>
        <w:gridCol w:w="4285"/>
      </w:tblGrid>
      <w:tr>
        <w:trPr>
          <w:trHeight w:val="1851"/>
        </w:trPr>
        <w:tc>
          <w:tcPr>
            <w:tcW w:w="4414" w:type="dxa"/>
            <w:textDirection w:val="lrTb"/>
            <w:noWrap w:val="false"/>
          </w:tcPr>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tc>
        <w:tc>
          <w:tcPr>
            <w:tcW w:w="4285" w:type="dxa"/>
            <w:textDirection w:val="lrTb"/>
            <w:noWrap w:val="false"/>
          </w:tcPr>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tc>
      </w:tr>
    </w:tbl>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投标人：（加盖公章）</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法定代表人签字或盖章：</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日期：    年    月    日</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说明：</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1.若投标人为事业单位或其他组织或分支机构（仅当招标文件注明允许分支机构投标的），则法定代表人（单位负责人）处的签署人可为单位负责人。</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2.投标人为自然人的情形，可不提供本《法定代表人资格证明书》。。</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3 政府采购供应商信用承诺书（实质性格式）</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政府采购供应商信用承诺书</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为维护公开、公平、公正的政府采购市场秩序，树立诚实守信的供应商形象，本单位在参与政府采购活动中,自愿作出以下承诺：</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一、严格遵守国家法律、法规和规章，全面履行应尽的责任和义务，全面做到履约守信，具备《政府采购法》第二十二条第一款规定的条件。</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四、严格依法开展生产经营活动，主动接受行业监管，自愿接受依法开展的日常检查；违法失信经营后将自愿接受约束和惩戒，并依法承担相应责任。</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五、承诺本单位自觉接受行政管理部门、行业组织、社会公众、新闻舆论的监督。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六、承诺本单位自我约束、自我管理，重合同、守信用，不制假售假、商标侵权、虚假宣传、违约毁约、恶意逃债、偷税漏税、价格欺诈、垄断和不正当竞争，维护经营者、消费者的合法权益。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七、承诺本单位在信用中国（江苏）网站中无违法违规、较重或严重失信记录。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八、承诺本单位提出政府采购质疑和投诉坚持依法依规、诚实信用原则。</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九、根据政府采购相关法律法规的规定需要作出的其他承诺。 </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十、承诺本单位若违背承诺约定，经查实，愿意接受行业主管部门和信用管理部门相应的规定处罚，承担违约责任，并依法承担相应的法律责任。</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十一、承诺本单位同意将以上承诺事项上网公示，违背承诺约定行为将作为失信信息，记录到常州市公共信用信息系统，并予以公开。</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投标人名称（加盖公章）：____________</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日期：_____年______月______日   </w:t>
      </w:r>
      <w:r/>
    </w:p>
    <w:p>
      <w:pPr>
        <w:ind w:left="228" w:hanging="228"/>
        <w:spacing w:line="360" w:lineRule="auto"/>
        <w:rPr>
          <w:rFonts w:hint="eastAsia" w:ascii="宋体" w:hAnsi="宋体" w:cs="宋体"/>
          <w:sz w:val="24"/>
          <w:szCs w:val="20"/>
        </w:rPr>
        <w:sectPr>
          <w:footnotePr/>
          <w:endnotePr/>
          <w:type w:val="nextPage"/>
          <w:pgSz w:w="11906" w:h="16838" w:orient="portrait"/>
          <w:pgMar w:top="1440" w:right="1800" w:bottom="1440" w:left="1800" w:header="851" w:footer="992" w:gutter="0"/>
          <w:cols w:num="1" w:sep="0" w:space="720" w:equalWidth="1"/>
          <w:docGrid w:linePitch="360"/>
        </w:sectPr>
        <w:outlineLvl w:val="2"/>
      </w:pPr>
      <w:r>
        <w:rPr>
          <w:rFonts w:hint="eastAsia" w:ascii="宋体" w:hAnsi="宋体" w:cs="宋体"/>
          <w:sz w:val="24"/>
          <w:szCs w:val="20"/>
        </w:rPr>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4 报价一览表（实质性格式）</w:t>
      </w:r>
      <w:r/>
    </w:p>
    <w:p>
      <w:pPr>
        <w:ind w:left="343" w:hanging="343"/>
        <w:jc w:val="center"/>
        <w:spacing w:line="360" w:lineRule="exact"/>
        <w:rPr>
          <w:rFonts w:hint="eastAsia" w:ascii="宋体" w:hAnsi="宋体" w:cs="宋体"/>
          <w:b/>
          <w:sz w:val="36"/>
          <w:szCs w:val="36"/>
        </w:rPr>
      </w:pPr>
      <w:r/>
      <w:bookmarkStart w:id="525" w:name="_Toc226337254"/>
      <w:r/>
      <w:bookmarkStart w:id="526" w:name="_Toc164608827"/>
      <w:r/>
      <w:bookmarkStart w:id="527" w:name="_Toc195842923"/>
      <w:r/>
      <w:bookmarkStart w:id="528" w:name="_Toc226965748"/>
      <w:r/>
      <w:bookmarkStart w:id="529" w:name="_Toc164608672"/>
      <w:r/>
      <w:bookmarkStart w:id="530" w:name="_Toc305158826"/>
      <w:r/>
      <w:bookmarkStart w:id="531" w:name="_Toc226309802"/>
      <w:r/>
      <w:bookmarkStart w:id="532" w:name="_Toc226965831"/>
      <w:r/>
      <w:bookmarkStart w:id="533" w:name="_Toc265228396"/>
      <w:r/>
      <w:bookmarkStart w:id="534" w:name="_Toc264969248"/>
      <w:r/>
      <w:bookmarkStart w:id="535" w:name="_Toc305158900"/>
      <w:r>
        <w:rPr>
          <w:rFonts w:hint="eastAsia" w:ascii="宋体" w:hAnsi="宋体" w:cs="宋体"/>
          <w:b/>
          <w:sz w:val="36"/>
          <w:szCs w:val="36"/>
        </w:rPr>
        <w:t xml:space="preserve">开标一览表</w:t>
      </w:r>
      <w:bookmarkEnd w:id="525"/>
      <w:r/>
      <w:bookmarkEnd w:id="526"/>
      <w:r/>
      <w:bookmarkEnd w:id="527"/>
      <w:r/>
      <w:bookmarkEnd w:id="528"/>
      <w:r/>
      <w:bookmarkEnd w:id="529"/>
      <w:r/>
      <w:bookmarkEnd w:id="530"/>
      <w:r/>
      <w:bookmarkEnd w:id="531"/>
      <w:r/>
      <w:bookmarkEnd w:id="532"/>
      <w:r/>
      <w:bookmarkEnd w:id="533"/>
      <w:r/>
      <w:bookmarkEnd w:id="534"/>
      <w:r/>
      <w:bookmarkEnd w:id="535"/>
      <w:r/>
      <w:r/>
    </w:p>
    <w:p>
      <w:pPr>
        <w:ind w:left="228" w:hanging="228"/>
        <w:jc w:val="left"/>
        <w:spacing w:line="360" w:lineRule="auto"/>
        <w:tabs>
          <w:tab w:val="left" w:pos="1800" w:leader="none"/>
          <w:tab w:val="left" w:pos="5580" w:leader="none"/>
        </w:tabs>
        <w:rPr>
          <w:rFonts w:hint="eastAsia" w:ascii="宋体" w:hAnsi="宋体" w:cs="宋体"/>
          <w:i/>
          <w:sz w:val="24"/>
        </w:rPr>
      </w:pPr>
      <w:r>
        <w:rPr>
          <w:rFonts w:hint="eastAsia" w:ascii="宋体" w:hAnsi="宋体" w:cs="宋体"/>
          <w:i/>
          <w:sz w:val="24"/>
        </w:rPr>
      </w:r>
      <w:r/>
    </w:p>
    <w:p>
      <w:pPr>
        <w:ind w:firstLine="240"/>
        <w:jc w:val="left"/>
        <w:spacing w:line="360" w:lineRule="auto"/>
        <w:tabs>
          <w:tab w:val="left" w:pos="1800" w:leader="none"/>
          <w:tab w:val="left" w:pos="5580" w:leader="none"/>
        </w:tabs>
        <w:rPr>
          <w:rFonts w:hint="eastAsia" w:ascii="宋体" w:hAnsi="宋体" w:cs="宋体"/>
          <w:sz w:val="24"/>
        </w:rPr>
      </w:pPr>
      <w:r>
        <w:rPr>
          <w:rFonts w:hint="eastAsia" w:ascii="宋体" w:hAnsi="宋体" w:cs="宋体"/>
          <w:sz w:val="24"/>
        </w:rPr>
        <w:t xml:space="preserve">项目编号/包号：_____________________     项目名称：____________</w:t>
      </w:r>
      <w:r/>
    </w:p>
    <w:p>
      <w:pPr>
        <w:pStyle w:val="1026"/>
        <w:rPr>
          <w:rFonts w:hint="eastAsia" w:ascii="宋体" w:hAnsi="宋体" w:cs="宋体"/>
          <w:sz w:val="24"/>
        </w:rPr>
      </w:pPr>
      <w:r>
        <w:rPr>
          <w:rFonts w:hint="eastAsia" w:ascii="宋体" w:hAnsi="宋体" w:cs="宋体"/>
          <w:sz w:val="24"/>
        </w:rPr>
      </w:r>
      <w:r/>
    </w:p>
    <w:tbl>
      <w:tblPr>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30"/>
        <w:gridCol w:w="3388"/>
        <w:gridCol w:w="1817"/>
        <w:gridCol w:w="1812"/>
      </w:tblGrid>
      <w:tr>
        <w:trPr>
          <w:jc w:val="center"/>
          <w:trHeight w:val="531"/>
        </w:trPr>
        <w:tc>
          <w:tcPr>
            <w:tcW w:w="412" w:type="pct"/>
            <w:vAlign w:val="center"/>
            <w:vMerge w:val="restart"/>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序号</w:t>
            </w:r>
            <w:r/>
          </w:p>
        </w:tc>
        <w:tc>
          <w:tcPr>
            <w:tcW w:w="2215" w:type="pct"/>
            <w:vAlign w:val="center"/>
            <w:vMerge w:val="restart"/>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投标人名称</w:t>
            </w:r>
            <w:r/>
          </w:p>
        </w:tc>
        <w:tc>
          <w:tcPr>
            <w:gridSpan w:val="2"/>
            <w:tcW w:w="2373" w:type="pct"/>
            <w:vAlign w:val="center"/>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投标报价</w:t>
            </w:r>
            <w:r>
              <w:rPr>
                <w:rFonts w:hint="eastAsia" w:asciiTheme="minorEastAsia" w:hAnsiTheme="minorEastAsia"/>
                <w:sz w:val="24"/>
              </w:rPr>
              <w:t xml:space="preserve">（元）</w:t>
            </w:r>
            <w:r/>
          </w:p>
        </w:tc>
      </w:tr>
      <w:tr>
        <w:trPr>
          <w:jc w:val="center"/>
          <w:trHeight w:val="674"/>
        </w:trPr>
        <w:tc>
          <w:tcPr>
            <w:tcW w:w="412" w:type="pct"/>
            <w:vAlign w:val="center"/>
            <w:vMerge w:val="continue"/>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2215" w:type="pct"/>
            <w:vAlign w:val="center"/>
            <w:vMerge w:val="continue"/>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1188" w:type="pct"/>
            <w:vAlign w:val="center"/>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大写</w:t>
            </w:r>
            <w:r/>
          </w:p>
        </w:tc>
        <w:tc>
          <w:tcPr>
            <w:tcW w:w="1182" w:type="pct"/>
            <w:vAlign w:val="center"/>
            <w:textDirection w:val="lrTb"/>
            <w:noWrap w:val="false"/>
          </w:tcPr>
          <w:p>
            <w:pPr>
              <w:ind w:left="229" w:hanging="229"/>
              <w:jc w:val="center"/>
              <w:spacing w:line="360" w:lineRule="auto"/>
              <w:tabs>
                <w:tab w:val="left" w:pos="5580" w:leader="none"/>
              </w:tabs>
              <w:rPr>
                <w:rFonts w:hint="eastAsia" w:asciiTheme="minorEastAsia" w:hAnsiTheme="minorEastAsia"/>
                <w:sz w:val="24"/>
              </w:rPr>
            </w:pPr>
            <w:r>
              <w:rPr>
                <w:rFonts w:asciiTheme="minorEastAsia" w:hAnsiTheme="minorEastAsia"/>
                <w:sz w:val="24"/>
              </w:rPr>
              <w:t xml:space="preserve">小写</w:t>
            </w:r>
            <w:r/>
          </w:p>
        </w:tc>
      </w:tr>
      <w:tr>
        <w:trPr>
          <w:jc w:val="center"/>
          <w:trHeight w:val="976"/>
        </w:trPr>
        <w:tc>
          <w:tcPr>
            <w:tcW w:w="412"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2215"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1188"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c>
          <w:tcPr>
            <w:tcW w:w="1182" w:type="pct"/>
            <w:vAlign w:val="center"/>
            <w:textDirection w:val="lrTb"/>
            <w:noWrap w:val="false"/>
          </w:tcPr>
          <w:p>
            <w:pPr>
              <w:ind w:left="228" w:hanging="228"/>
              <w:jc w:val="center"/>
              <w:spacing w:line="360" w:lineRule="auto"/>
              <w:tabs>
                <w:tab w:val="left" w:pos="5580" w:leader="none"/>
              </w:tabs>
              <w:rPr>
                <w:rFonts w:hint="eastAsia" w:asciiTheme="minorEastAsia" w:hAnsiTheme="minorEastAsia"/>
                <w:sz w:val="24"/>
              </w:rPr>
            </w:pPr>
            <w:r>
              <w:rPr>
                <w:rFonts w:hint="eastAsia" w:asciiTheme="minorEastAsia" w:hAnsiTheme="minorEastAsia"/>
                <w:sz w:val="24"/>
              </w:rPr>
            </w:r>
            <w:r/>
          </w:p>
        </w:tc>
      </w:tr>
    </w:tbl>
    <w:p>
      <w:pPr>
        <w:ind w:left="228" w:hanging="228"/>
        <w:jc w:val="left"/>
        <w:spacing w:line="360" w:lineRule="auto"/>
        <w:rPr>
          <w:rFonts w:hint="eastAsia" w:asciiTheme="minorEastAsia" w:hAnsiTheme="minorEastAsia"/>
          <w:sz w:val="24"/>
        </w:rPr>
      </w:pPr>
      <w:r>
        <w:rPr>
          <w:rFonts w:hint="eastAsia" w:asciiTheme="minorEastAsia" w:hAnsiTheme="minorEastAsia"/>
          <w:sz w:val="24"/>
        </w:rPr>
      </w:r>
      <w:r/>
    </w:p>
    <w:p>
      <w:pPr>
        <w:contextualSpacing/>
        <w:ind w:firstLine="480"/>
        <w:spacing w:line="360" w:lineRule="auto"/>
        <w:rPr>
          <w:sz w:val="24"/>
          <w:szCs w:val="20"/>
        </w:rPr>
      </w:pPr>
      <w:r>
        <w:rPr>
          <w:rFonts w:asciiTheme="minorEastAsia" w:hAnsiTheme="minorEastAsia"/>
          <w:sz w:val="24"/>
          <w:szCs w:val="20"/>
        </w:rPr>
        <w:t xml:space="preserve">注：</w:t>
      </w:r>
      <w:r>
        <w:rPr>
          <w:rFonts w:hint="eastAsia" w:asciiTheme="minorEastAsia" w:hAnsiTheme="minorEastAsia"/>
          <w:sz w:val="24"/>
          <w:szCs w:val="20"/>
        </w:rPr>
        <w:t xml:space="preserve">1</w:t>
      </w:r>
      <w:r>
        <w:rPr>
          <w:rFonts w:hint="eastAsia" w:asciiTheme="minorEastAsia" w:hAnsiTheme="minorEastAsia"/>
          <w:sz w:val="24"/>
          <w:szCs w:val="20"/>
        </w:rPr>
        <w:t xml:space="preserve">、</w:t>
      </w:r>
      <w:r>
        <w:rPr>
          <w:rFonts w:hint="eastAsia"/>
          <w:sz w:val="24"/>
          <w:szCs w:val="20"/>
        </w:rPr>
        <w:t xml:space="preserve">报价保留小数点后</w:t>
      </w:r>
      <w:r>
        <w:rPr>
          <w:rFonts w:hint="eastAsia"/>
          <w:sz w:val="24"/>
          <w:szCs w:val="20"/>
        </w:rPr>
        <w:t xml:space="preserve">2</w:t>
      </w:r>
      <w:r>
        <w:rPr>
          <w:rFonts w:hint="eastAsia"/>
          <w:sz w:val="24"/>
          <w:szCs w:val="20"/>
        </w:rPr>
        <w:t xml:space="preserve">位。</w:t>
      </w:r>
      <w:r/>
    </w:p>
    <w:p>
      <w:pPr>
        <w:contextualSpacing/>
        <w:ind w:firstLine="964"/>
        <w:spacing w:line="360" w:lineRule="auto"/>
        <w:rPr>
          <w:b/>
          <w:bCs/>
          <w:sz w:val="24"/>
          <w:szCs w:val="20"/>
          <w:highlight w:val="white"/>
        </w:rPr>
      </w:pPr>
      <w:r>
        <w:rPr>
          <w:rFonts w:hint="eastAsia"/>
          <w:b/>
          <w:bCs/>
          <w:sz w:val="24"/>
          <w:szCs w:val="20"/>
          <w:highlight w:val="white"/>
        </w:rPr>
        <w:t xml:space="preserve">2</w:t>
      </w:r>
      <w:r>
        <w:rPr>
          <w:rFonts w:hint="eastAsia"/>
          <w:b/>
          <w:bCs/>
          <w:sz w:val="24"/>
          <w:szCs w:val="20"/>
          <w:highlight w:val="white"/>
        </w:rPr>
        <w:t xml:space="preserve">、本表的投标报价须与投标分项报价表中的三年总价一致。</w:t>
      </w:r>
      <w:r>
        <w:rPr>
          <w:highlight w:val="white"/>
        </w:rPr>
      </w:r>
    </w:p>
    <w:p>
      <w:pPr>
        <w:ind w:left="228" w:hanging="228"/>
        <w:spacing w:before="312" w:after="312" w:line="360" w:lineRule="auto"/>
        <w:rPr>
          <w:rFonts w:hint="eastAsia" w:ascii="宋体" w:hAnsi="宋体" w:cs="宋体"/>
          <w:sz w:val="24"/>
          <w:highlight w:val="white"/>
        </w:rPr>
      </w:pPr>
      <w:r>
        <w:rPr>
          <w:rFonts w:hint="eastAsia" w:ascii="宋体" w:hAnsi="宋体" w:cs="宋体"/>
          <w:sz w:val="24"/>
          <w:highlight w:val="white"/>
          <w:lang w:val="zh-CN"/>
        </w:rPr>
      </w:r>
      <w:r>
        <w:rPr>
          <w:highlight w:val="white"/>
        </w:rPr>
      </w:r>
    </w:p>
    <w:p>
      <w:pPr>
        <w:ind w:left="228" w:hanging="228"/>
        <w:spacing w:before="312" w:after="312" w:line="360" w:lineRule="auto"/>
        <w:rPr>
          <w:rFonts w:hint="eastAsia" w:ascii="宋体" w:hAnsi="宋体" w:cs="宋体"/>
          <w:sz w:val="24"/>
          <w:lang w:val="zh-CN"/>
        </w:rPr>
      </w:pPr>
      <w:r>
        <w:rPr>
          <w:rFonts w:hint="eastAsia" w:ascii="宋体" w:hAnsi="宋体" w:cs="宋体"/>
          <w:sz w:val="24"/>
          <w:lang w:val="zh-CN"/>
        </w:rPr>
        <w:t xml:space="preserve">                         </w:t>
      </w:r>
      <w:r/>
    </w:p>
    <w:p>
      <w:pPr>
        <w:ind w:left="228" w:hanging="228"/>
        <w:spacing w:before="312" w:after="312" w:line="360" w:lineRule="auto"/>
        <w:rPr>
          <w:rFonts w:hint="eastAsia" w:ascii="宋体" w:hAnsi="宋体" w:cs="宋体"/>
          <w:sz w:val="24"/>
          <w:lang w:val="zh-CN"/>
        </w:rPr>
      </w:pPr>
      <w:r>
        <w:rPr>
          <w:rFonts w:hint="eastAsia" w:ascii="宋体" w:hAnsi="宋体" w:cs="宋体"/>
          <w:sz w:val="24"/>
        </w:rPr>
        <w:t xml:space="preserve">投标人名称（加盖公章）</w:t>
      </w:r>
      <w:r>
        <w:rPr>
          <w:rFonts w:hint="eastAsia" w:ascii="宋体" w:hAnsi="宋体" w:cs="宋体"/>
          <w:sz w:val="24"/>
          <w:lang w:val="zh-CN"/>
        </w:rPr>
        <w:t xml:space="preserve">：____________</w:t>
      </w:r>
      <w:r/>
    </w:p>
    <w:p>
      <w:pPr>
        <w:contextualSpacing/>
        <w:ind w:firstLine="480"/>
        <w:spacing w:line="360" w:lineRule="auto"/>
        <w:rPr>
          <w:rFonts w:hint="eastAsia" w:ascii="宋体" w:hAnsi="宋体" w:cs="宋体"/>
          <w:sz w:val="24"/>
          <w:szCs w:val="20"/>
        </w:rPr>
      </w:pPr>
      <w:r>
        <w:rPr>
          <w:rFonts w:hint="eastAsia" w:ascii="宋体" w:hAnsi="宋体" w:cs="宋体"/>
          <w:sz w:val="24"/>
          <w:szCs w:val="20"/>
        </w:rPr>
        <w:t xml:space="preserve">日期：_____年______月______日  </w:t>
      </w:r>
      <w:r/>
    </w:p>
    <w:p>
      <w:pPr>
        <w:rPr>
          <w:rFonts w:hint="eastAsia" w:ascii="宋体" w:hAnsi="宋体" w:cs="宋体"/>
          <w:sz w:val="24"/>
          <w:szCs w:val="20"/>
        </w:rPr>
      </w:pPr>
      <w:r>
        <w:rPr>
          <w:rFonts w:hint="eastAsia" w:ascii="宋体" w:hAnsi="宋体" w:cs="宋体"/>
          <w:sz w:val="24"/>
          <w:szCs w:val="20"/>
        </w:rPr>
        <w:br w:type="page" w:clear="all"/>
      </w:r>
      <w:r/>
    </w:p>
    <w:p>
      <w:pPr>
        <w:spacing w:line="360" w:lineRule="auto"/>
        <w:rPr>
          <w:rFonts w:hint="eastAsia" w:ascii="宋体" w:hAnsi="宋体" w:cs="宋体"/>
          <w:sz w:val="24"/>
          <w:szCs w:val="20"/>
        </w:rPr>
        <w:outlineLvl w:val="2"/>
      </w:pPr>
      <w:r>
        <w:rPr>
          <w:rFonts w:hint="eastAsia" w:ascii="宋体" w:hAnsi="宋体" w:cs="宋体"/>
          <w:sz w:val="24"/>
          <w:szCs w:val="20"/>
        </w:rPr>
        <w:t xml:space="preserve">5 投标分项报价表</w:t>
      </w:r>
      <w:r/>
    </w:p>
    <w:p>
      <w:pPr>
        <w:jc w:val="center"/>
        <w:spacing w:line="360" w:lineRule="exact"/>
        <w:rPr>
          <w:sz w:val="36"/>
          <w:szCs w:val="36"/>
        </w:rPr>
      </w:pPr>
      <w:r>
        <w:rPr>
          <w:sz w:val="36"/>
          <w:szCs w:val="36"/>
        </w:rPr>
      </w:r>
      <w:r/>
    </w:p>
    <w:p>
      <w:pPr>
        <w:jc w:val="center"/>
        <w:spacing w:line="360" w:lineRule="exact"/>
        <w:rPr>
          <w:b/>
          <w:sz w:val="36"/>
          <w:szCs w:val="36"/>
        </w:rPr>
      </w:pPr>
      <w:r>
        <w:rPr>
          <w:rFonts w:hint="eastAsia"/>
          <w:b/>
          <w:sz w:val="36"/>
          <w:szCs w:val="36"/>
        </w:rPr>
        <w:t xml:space="preserve">投标分项报价表</w:t>
      </w:r>
      <w:r/>
    </w:p>
    <w:p>
      <w:pPr>
        <w:jc w:val="center"/>
        <w:spacing w:line="260" w:lineRule="exact"/>
        <w:rPr>
          <w:sz w:val="36"/>
          <w:szCs w:val="36"/>
        </w:rPr>
      </w:pPr>
      <w:r>
        <w:rPr>
          <w:sz w:val="36"/>
          <w:szCs w:val="36"/>
        </w:rPr>
      </w:r>
      <w:r/>
    </w:p>
    <w:p>
      <w:pPr>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 </w:t>
      </w:r>
      <w:r>
        <w:rPr>
          <w:sz w:val="24"/>
        </w:rPr>
        <w:t xml:space="preserve">项目名称：</w:t>
      </w:r>
      <w:r>
        <w:rPr>
          <w:sz w:val="24"/>
        </w:rPr>
        <w:t xml:space="preserve">__________</w:t>
      </w:r>
      <w:r>
        <w:rPr>
          <w:sz w:val="24"/>
        </w:rPr>
        <w:t xml:space="preserve">报价单位：人民币元</w:t>
      </w:r>
      <w:r/>
    </w:p>
    <w:tbl>
      <w:tblPr>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9"/>
        <w:gridCol w:w="1423"/>
        <w:gridCol w:w="2533"/>
        <w:gridCol w:w="1042"/>
        <w:gridCol w:w="992"/>
        <w:gridCol w:w="919"/>
        <w:gridCol w:w="1072"/>
      </w:tblGrid>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序号</w:t>
            </w:r>
            <w:r/>
          </w:p>
        </w:tc>
        <w:tc>
          <w:tcPr>
            <w:tcBorders>
              <w:top w:val="single" w:color="auto" w:sz="4" w:space="0"/>
              <w:left w:val="single" w:color="auto" w:sz="4" w:space="0"/>
              <w:bottom w:val="single" w:color="auto" w:sz="4" w:space="0"/>
              <w:right w:val="single" w:color="auto" w:sz="4" w:space="0"/>
            </w:tcBorders>
            <w:tcW w:w="142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分项名称</w:t>
            </w:r>
            <w:r/>
          </w:p>
        </w:tc>
        <w:tc>
          <w:tcPr>
            <w:tcBorders>
              <w:top w:val="single" w:color="auto" w:sz="4" w:space="0"/>
              <w:left w:val="single" w:color="auto" w:sz="4" w:space="0"/>
              <w:bottom w:val="single" w:color="auto" w:sz="4" w:space="0"/>
              <w:right w:val="single" w:color="auto" w:sz="4" w:space="0"/>
            </w:tcBorders>
            <w:tcW w:w="2533"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服务内容</w:t>
            </w:r>
            <w:r/>
          </w:p>
        </w:tc>
        <w:tc>
          <w:tcPr>
            <w:tcBorders>
              <w:top w:val="single" w:color="auto" w:sz="4" w:space="0"/>
              <w:left w:val="single" w:color="auto" w:sz="4" w:space="0"/>
              <w:bottom w:val="single" w:color="auto" w:sz="4" w:space="0"/>
              <w:right w:val="single" w:color="auto" w:sz="4" w:space="0"/>
            </w:tcBorders>
            <w:tcW w:w="104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数量</w:t>
            </w:r>
            <w:r/>
          </w:p>
        </w:tc>
        <w:tc>
          <w:tcPr>
            <w:tcBorders>
              <w:top w:val="single" w:color="auto" w:sz="4" w:space="0"/>
              <w:left w:val="single" w:color="auto" w:sz="4" w:space="0"/>
              <w:bottom w:val="single" w:color="auto" w:sz="4" w:space="0"/>
              <w:right w:val="single" w:color="auto" w:sz="4" w:space="0"/>
            </w:tcBorders>
            <w:tcW w:w="992" w:type="dxa"/>
            <w:vAlign w:val="center"/>
            <w:vMerge w:val="restart"/>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单位</w:t>
            </w:r>
            <w:r/>
          </w:p>
        </w:tc>
        <w:tc>
          <w:tcPr>
            <w:gridSpan w:val="2"/>
            <w:tcBorders>
              <w:top w:val="single" w:color="auto" w:sz="4" w:space="0"/>
              <w:left w:val="single" w:color="auto" w:sz="4" w:space="0"/>
              <w:bottom w:val="single" w:color="auto" w:sz="4" w:space="0"/>
              <w:right w:val="single" w:color="auto" w:sz="4" w:space="0"/>
            </w:tcBorders>
            <w:tcW w:w="1991"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投标价格</w:t>
            </w:r>
            <w:r/>
          </w:p>
        </w:tc>
      </w:tr>
      <w:tr>
        <w:trPr>
          <w:cantSplit/>
          <w:jc w:val="center"/>
          <w:trHeight w:val="285"/>
        </w:trPr>
        <w:tc>
          <w:tcPr>
            <w:tcBorders>
              <w:top w:val="single" w:color="auto" w:sz="4" w:space="0"/>
              <w:left w:val="single" w:color="auto" w:sz="4" w:space="0"/>
              <w:bottom w:val="single" w:color="auto" w:sz="4" w:space="0"/>
              <w:right w:val="single" w:color="auto" w:sz="4" w:space="0"/>
            </w:tcBorders>
            <w:tcW w:w="669"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42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2533"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vMerge w:val="continue"/>
            <w:textDirection w:val="lrTb"/>
            <w:noWrap w:val="false"/>
          </w:tcPr>
          <w:p>
            <w:pPr>
              <w:jc w:val="left"/>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单价</w:t>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合价</w:t>
            </w:r>
            <w:r/>
          </w:p>
        </w:tc>
      </w:tr>
      <w:tr>
        <w:trPr>
          <w:cantSplit/>
          <w:jc w:val="center"/>
          <w:trHeight w:val="285"/>
        </w:trPr>
        <w:tc>
          <w:tcPr>
            <w:gridSpan w:val="7"/>
            <w:tcBorders>
              <w:top w:val="single" w:color="auto" w:sz="4" w:space="0"/>
              <w:left w:val="single" w:color="auto" w:sz="4" w:space="0"/>
              <w:bottom w:val="single" w:color="auto" w:sz="4" w:space="0"/>
              <w:right w:val="single" w:color="auto" w:sz="4" w:space="0"/>
            </w:tcBorders>
            <w:tcW w:w="865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一年环卫作业费</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3</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gridSpan w:val="7"/>
            <w:tcBorders>
              <w:top w:val="single" w:color="auto" w:sz="4" w:space="0"/>
              <w:left w:val="single" w:color="auto" w:sz="4" w:space="0"/>
              <w:bottom w:val="single" w:color="auto" w:sz="4" w:space="0"/>
              <w:right w:val="single" w:color="auto" w:sz="4" w:space="0"/>
            </w:tcBorders>
            <w:tcW w:w="8650"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一年绿化养护费</w:t>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2</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480"/>
        </w:trPr>
        <w:tc>
          <w:tcPr>
            <w:tcBorders>
              <w:top w:val="single" w:color="auto" w:sz="4" w:space="0"/>
              <w:left w:val="single" w:color="auto" w:sz="4" w:space="0"/>
              <w:bottom w:val="single" w:color="auto" w:sz="4" w:space="0"/>
              <w:right w:val="single" w:color="auto" w:sz="4" w:space="0"/>
            </w:tcBorders>
            <w:tcW w:w="66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t xml:space="preserve">……</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spacing w:line="360" w:lineRule="auto"/>
              <w:widowControl/>
              <w:rPr>
                <w:rFonts w:hint="eastAsia" w:ascii="宋体" w:hAnsi="宋体" w:cs="Arial"/>
                <w:b/>
                <w:bCs/>
                <w:sz w:val="24"/>
              </w:rPr>
            </w:pPr>
            <w:r>
              <w:rPr>
                <w:rFonts w:hint="eastAsia" w:ascii="宋体" w:hAnsi="宋体" w:cs="Arial"/>
                <w:b/>
                <w:bCs/>
                <w:sz w:val="24"/>
              </w:rPr>
            </w:r>
            <w:r/>
          </w:p>
        </w:tc>
        <w:tc>
          <w:tcPr>
            <w:tcBorders>
              <w:top w:val="single" w:color="auto" w:sz="4" w:space="0"/>
              <w:left w:val="single" w:color="auto" w:sz="4" w:space="0"/>
              <w:bottom w:val="single" w:color="auto" w:sz="4" w:space="0"/>
              <w:right w:val="single" w:color="auto" w:sz="4" w:space="0"/>
            </w:tcBorders>
            <w:tcW w:w="2533"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919"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c>
          <w:tcPr>
            <w:tcBorders>
              <w:top w:val="single" w:color="auto" w:sz="4" w:space="0"/>
              <w:left w:val="single" w:color="auto" w:sz="4" w:space="0"/>
              <w:bottom w:val="single" w:color="auto" w:sz="4" w:space="0"/>
              <w:right w:val="single" w:color="auto" w:sz="4" w:space="0"/>
            </w:tcBorders>
            <w:tcW w:w="1072" w:type="dxa"/>
            <w:vAlign w:val="center"/>
            <w:textDirection w:val="lrTb"/>
            <w:noWrap w:val="false"/>
          </w:tcPr>
          <w:p>
            <w:pPr>
              <w:jc w:val="center"/>
              <w:spacing w:line="360" w:lineRule="auto"/>
              <w:widowControl/>
              <w:rPr>
                <w:rFonts w:hint="eastAsia" w:ascii="宋体" w:hAnsi="宋体" w:cs="Arial"/>
                <w:sz w:val="24"/>
              </w:rPr>
            </w:pPr>
            <w:r>
              <w:rPr>
                <w:rFonts w:hint="eastAsia" w:ascii="宋体" w:hAnsi="宋体" w:cs="Arial"/>
                <w:sz w:val="24"/>
              </w:rPr>
            </w:r>
            <w:r/>
          </w:p>
        </w:tc>
      </w:tr>
      <w:tr>
        <w:trPr>
          <w:jc w:val="center"/>
          <w:trHeight w:val="106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pStyle w:val="1026"/>
              <w:jc w:val="center"/>
            </w:pPr>
            <w:r>
              <w:rPr>
                <w:rFonts w:hint="eastAsia"/>
              </w:rPr>
              <w:t xml:space="preserve">一年总价（元</w:t>
            </w:r>
            <w:r>
              <w:rPr>
                <w:rFonts w:hint="eastAsia"/>
              </w:rPr>
              <w:t xml:space="preserve">/</w:t>
            </w:r>
            <w:r>
              <w:rPr>
                <w:rFonts w:hint="eastAsia"/>
              </w:rPr>
              <w:t xml:space="preserve">年）</w:t>
            </w:r>
            <w:r/>
          </w:p>
          <w:p>
            <w:pPr>
              <w:jc w:val="center"/>
            </w:pPr>
            <w:r>
              <w:rPr>
                <w:rFonts w:hint="eastAsia"/>
              </w:rPr>
              <w:t xml:space="preserve">一年环卫作业费</w:t>
            </w:r>
            <w:r>
              <w:rPr>
                <w:rFonts w:hint="eastAsia"/>
              </w:rPr>
              <w:t xml:space="preserve">+</w:t>
            </w:r>
            <w:r>
              <w:rPr>
                <w:rFonts w:hint="eastAsia"/>
              </w:rPr>
              <w:t xml:space="preserve">一年绿化养护费</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pStyle w:val="1026"/>
              <w:jc w:val="center"/>
            </w:pPr>
            <w:r/>
            <w:r/>
          </w:p>
        </w:tc>
      </w:tr>
      <w:tr>
        <w:trPr>
          <w:jc w:val="center"/>
          <w:trHeight w:val="1060"/>
        </w:trPr>
        <w:tc>
          <w:tcPr>
            <w:gridSpan w:val="3"/>
            <w:tcBorders>
              <w:top w:val="single" w:color="auto" w:sz="4" w:space="0"/>
              <w:left w:val="single" w:color="auto" w:sz="4" w:space="0"/>
              <w:bottom w:val="single" w:color="auto" w:sz="4" w:space="0"/>
              <w:right w:val="single" w:color="auto" w:sz="4" w:space="0"/>
            </w:tcBorders>
            <w:tcW w:w="4625" w:type="dxa"/>
            <w:vAlign w:val="center"/>
            <w:textDirection w:val="lrTb"/>
            <w:noWrap w:val="false"/>
          </w:tcPr>
          <w:p>
            <w:pPr>
              <w:pStyle w:val="1026"/>
              <w:jc w:val="center"/>
            </w:pPr>
            <w:r>
              <w:rPr>
                <w:rFonts w:hint="eastAsia"/>
              </w:rPr>
              <w:t xml:space="preserve">三年总价（元</w:t>
            </w:r>
            <w:r>
              <w:rPr>
                <w:rFonts w:hint="eastAsia"/>
              </w:rPr>
              <w:t xml:space="preserve">/</w:t>
            </w:r>
            <w:r>
              <w:rPr>
                <w:rFonts w:hint="eastAsia"/>
              </w:rPr>
              <w:t xml:space="preserve">三年）</w:t>
            </w:r>
            <w:r/>
          </w:p>
        </w:tc>
        <w:tc>
          <w:tcPr>
            <w:gridSpan w:val="4"/>
            <w:tcBorders>
              <w:top w:val="single" w:color="auto" w:sz="4" w:space="0"/>
              <w:left w:val="single" w:color="auto" w:sz="4" w:space="0"/>
              <w:bottom w:val="single" w:color="auto" w:sz="4" w:space="0"/>
              <w:right w:val="single" w:color="auto" w:sz="4" w:space="0"/>
            </w:tcBorders>
            <w:tcW w:w="4025" w:type="dxa"/>
            <w:vAlign w:val="center"/>
            <w:textDirection w:val="lrTb"/>
            <w:noWrap w:val="false"/>
          </w:tcPr>
          <w:p>
            <w:pPr>
              <w:pStyle w:val="1026"/>
              <w:jc w:val="center"/>
            </w:p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sz w:val="24"/>
        </w:rPr>
        <w:t xml:space="preserve">注：</w:t>
      </w:r>
      <w:r>
        <w:rPr>
          <w:sz w:val="24"/>
        </w:rPr>
        <w:t xml:space="preserve">1.</w:t>
      </w:r>
      <w:r>
        <w:rPr>
          <w:rFonts w:hint="eastAsia"/>
          <w:sz w:val="24"/>
        </w:rPr>
        <w:t xml:space="preserve">本表需要按环卫作业和绿化养护分别报价</w:t>
      </w:r>
      <w:r>
        <w:rPr>
          <w:sz w:val="24"/>
        </w:rPr>
        <w:t xml:space="preserve">。</w:t>
      </w:r>
      <w:r/>
    </w:p>
    <w:p>
      <w:pPr>
        <w:ind w:firstLine="480"/>
        <w:jc w:val="left"/>
        <w:tabs>
          <w:tab w:val="left" w:pos="1800" w:leader="none"/>
          <w:tab w:val="left" w:pos="5580" w:leader="none"/>
        </w:tabs>
        <w:rPr>
          <w:sz w:val="24"/>
        </w:rPr>
      </w:pPr>
      <w:r>
        <w:rPr>
          <w:sz w:val="24"/>
        </w:rPr>
        <w:t xml:space="preserve">2.</w:t>
      </w:r>
      <w:r>
        <w:rPr>
          <w:sz w:val="24"/>
        </w:rPr>
        <w:t xml:space="preserve">如果不提供分项报价将视为没有实质性响应招标文件。</w:t>
      </w:r>
      <w:r/>
    </w:p>
    <w:p>
      <w:pPr>
        <w:ind w:firstLine="480"/>
        <w:jc w:val="left"/>
        <w:tabs>
          <w:tab w:val="left" w:pos="1800" w:leader="none"/>
          <w:tab w:val="left" w:pos="5580" w:leader="none"/>
        </w:tabs>
        <w:rPr>
          <w:sz w:val="24"/>
        </w:rPr>
      </w:pPr>
      <w:r>
        <w:rPr>
          <w:sz w:val="24"/>
        </w:rPr>
        <w:t xml:space="preserve">3.</w:t>
      </w:r>
      <w:r>
        <w:rPr>
          <w:rFonts w:hint="eastAsia"/>
          <w:sz w:val="24"/>
        </w:rPr>
        <w:t xml:space="preserve">本表行数可以按照项目分项情况增加。</w:t>
      </w:r>
      <w:r/>
    </w:p>
    <w:p>
      <w:pPr>
        <w:ind w:firstLine="480"/>
        <w:jc w:val="left"/>
        <w:tabs>
          <w:tab w:val="left" w:pos="1800" w:leader="none"/>
          <w:tab w:val="left" w:pos="5580" w:leader="none"/>
        </w:tabs>
        <w:rPr>
          <w:sz w:val="24"/>
        </w:rPr>
      </w:pPr>
      <w:r>
        <w:rPr>
          <w:rFonts w:hint="eastAsia"/>
          <w:sz w:val="24"/>
        </w:rPr>
        <w:t xml:space="preserve">4.</w:t>
      </w:r>
      <w:r>
        <w:rPr>
          <w:sz w:val="24"/>
        </w:rPr>
        <w:t xml:space="preserve">上述各项的</w:t>
      </w:r>
      <w:r>
        <w:rPr>
          <w:rFonts w:hint="eastAsia"/>
          <w:sz w:val="24"/>
        </w:rPr>
        <w:t xml:space="preserve">服务内容如表格中填写不下的</w:t>
      </w:r>
      <w:r>
        <w:rPr>
          <w:sz w:val="24"/>
        </w:rPr>
        <w:t xml:space="preserve">，可</w:t>
      </w:r>
      <w:r>
        <w:rPr>
          <w:rFonts w:hint="eastAsia"/>
          <w:sz w:val="24"/>
        </w:rPr>
        <w:t xml:space="preserve">以逐项</w:t>
      </w:r>
      <w:r>
        <w:rPr>
          <w:sz w:val="24"/>
        </w:rPr>
        <w:t xml:space="preserve">另页描述。</w:t>
      </w:r>
      <w:r/>
    </w:p>
    <w:p>
      <w:pPr>
        <w:spacing w:before="25" w:after="25" w:line="360" w:lineRule="auto"/>
        <w:rPr>
          <w:sz w:val="24"/>
          <w:lang w:val="zh-CN"/>
        </w:rPr>
      </w:pPr>
      <w:r>
        <w:rPr>
          <w:sz w:val="24"/>
          <w:lang w:val="zh-CN"/>
        </w:rPr>
        <w:t xml:space="preserve">                  </w:t>
      </w:r>
      <w:r/>
    </w:p>
    <w:p>
      <w:pPr>
        <w:spacing w:before="25" w:after="25" w:line="360" w:lineRule="auto"/>
        <w:rPr>
          <w:sz w:val="24"/>
          <w:lang w:val="zh-CN"/>
        </w:rPr>
      </w:pPr>
      <w:r>
        <w:rPr>
          <w:sz w:val="24"/>
        </w:rPr>
        <w:t xml:space="preserve">投标人名称（加盖公章）</w:t>
      </w:r>
      <w:r>
        <w:rPr>
          <w:sz w:val="24"/>
          <w:lang w:val="zh-CN"/>
        </w:rPr>
        <w:t xml:space="preserve">：</w:t>
      </w:r>
      <w:r>
        <w:rPr>
          <w:sz w:val="24"/>
          <w:lang w:val="zh-CN"/>
        </w:rPr>
        <w:t xml:space="preserve">____________</w:t>
      </w:r>
      <w:r/>
    </w:p>
    <w:p>
      <w:pPr>
        <w:contextualSpacing/>
        <w:spacing w:line="360" w:lineRule="auto"/>
        <w:rPr>
          <w:rFonts w:hint="eastAsia" w:ascii="宋体" w:hAnsi="宋体" w:cs="宋体"/>
          <w:sz w:val="24"/>
          <w:szCs w:val="20"/>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p>
    <w:p>
      <w:pPr>
        <w:rPr>
          <w:rFonts w:hint="eastAsia" w:ascii="宋体" w:hAnsi="宋体" w:cs="宋体"/>
          <w:bCs/>
          <w:sz w:val="24"/>
        </w:rPr>
      </w:pPr>
      <w:r>
        <w:rPr>
          <w:rFonts w:hint="eastAsia" w:ascii="宋体" w:hAnsi="宋体" w:cs="宋体"/>
          <w:bCs/>
          <w:sz w:val="24"/>
        </w:rPr>
        <w:br w:type="page" w:clear="all"/>
      </w:r>
      <w:r/>
    </w:p>
    <w:p>
      <w:pPr>
        <w:contextualSpacing/>
        <w:ind w:left="228" w:hanging="228"/>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r>
      <w:r/>
    </w:p>
    <w:p>
      <w:pPr>
        <w:spacing w:line="360" w:lineRule="auto"/>
        <w:rPr>
          <w:rFonts w:hint="eastAsia" w:ascii="宋体" w:hAnsi="宋体" w:cs="宋体"/>
          <w:sz w:val="24"/>
          <w:szCs w:val="20"/>
        </w:rPr>
        <w:outlineLvl w:val="2"/>
      </w:pPr>
      <w:r>
        <w:rPr>
          <w:rFonts w:hint="eastAsia" w:ascii="宋体" w:hAnsi="宋体" w:cs="宋体"/>
          <w:sz w:val="24"/>
          <w:szCs w:val="20"/>
        </w:rPr>
        <w:t xml:space="preserve">6 合同条款偏离表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合同条款偏离表</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项目编号/包号：</w:t>
      </w:r>
      <w:r>
        <w:rPr>
          <w:rFonts w:hint="eastAsia" w:ascii="宋体" w:hAnsi="宋体" w:cs="宋体"/>
          <w:bCs/>
          <w:sz w:val="24"/>
          <w:u w:val="single"/>
        </w:rPr>
        <w:t xml:space="preserve">_______________  </w:t>
      </w:r>
      <w:r>
        <w:rPr>
          <w:rFonts w:hint="eastAsia" w:ascii="宋体" w:hAnsi="宋体" w:cs="宋体"/>
          <w:bCs/>
          <w:sz w:val="24"/>
        </w:rPr>
        <w:t xml:space="preserve">   项目名称：</w:t>
      </w:r>
      <w:r>
        <w:rPr>
          <w:rFonts w:hint="eastAsia" w:ascii="宋体" w:hAnsi="宋体" w:cs="宋体"/>
          <w:bCs/>
          <w:sz w:val="24"/>
          <w:u w:val="single"/>
        </w:rPr>
        <w:t xml:space="preserve">_____________________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对本项目合同条款的偏离情况（请进行勾选）：</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□无偏离（如无偏离，仅勾选无偏离即可）</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□有偏离（如有偏离，则须在本表中对偏离项逐一列明）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序号</w:t>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招标文件条目号（页码）</w:t>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招标文件要求</w:t>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投标文件内容</w:t>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偏离情况</w:t>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说明</w:t>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98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1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17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W w:w="90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bl>
    <w:p>
      <w:pPr>
        <w:contextualSpacing/>
        <w:ind w:firstLine="480"/>
        <w:spacing w:line="360" w:lineRule="auto"/>
        <w:rPr>
          <w:rFonts w:hint="eastAsia" w:ascii="宋体" w:hAnsi="宋体" w:cs="宋体"/>
          <w:bCs/>
          <w:sz w:val="24"/>
        </w:rPr>
      </w:pPr>
      <w:r>
        <w:rPr>
          <w:rFonts w:hint="eastAsia" w:ascii="宋体" w:hAnsi="宋体" w:cs="宋体"/>
          <w:bCs/>
          <w:sz w:val="24"/>
        </w:rPr>
        <w:t xml:space="preserve">注：</w:t>
      </w:r>
      <w:r/>
    </w:p>
    <w:p>
      <w:pPr>
        <w:contextualSpacing/>
        <w:ind w:firstLine="480"/>
        <w:spacing w:line="360" w:lineRule="auto"/>
        <w:rPr>
          <w:rFonts w:hint="eastAsia" w:asciiTheme="minorEastAsia" w:hAnsiTheme="minorEastAsia"/>
          <w:bCs/>
          <w:sz w:val="24"/>
        </w:rPr>
      </w:pPr>
      <w:r>
        <w:rPr>
          <w:rFonts w:asciiTheme="minorEastAsia" w:hAnsiTheme="minorEastAsia"/>
          <w:bCs/>
          <w:sz w:val="24"/>
        </w:rPr>
        <w:t xml:space="preserve">1. </w:t>
      </w:r>
      <w:r>
        <w:rPr>
          <w:rFonts w:hint="eastAsia" w:asciiTheme="minorEastAsia" w:hAnsiTheme="minorEastAsia"/>
          <w:bCs/>
          <w:sz w:val="24"/>
        </w:rPr>
        <w:t xml:space="preserve">对合同条款中的所有要求，除本表所列明的所有偏离外，均视作投标人已对之理解和响应。</w:t>
      </w:r>
      <w:r/>
    </w:p>
    <w:p>
      <w:pPr>
        <w:contextualSpacing/>
        <w:ind w:firstLine="480"/>
        <w:spacing w:line="360" w:lineRule="auto"/>
        <w:rPr>
          <w:rFonts w:hint="eastAsia" w:ascii="宋体" w:hAnsi="宋体" w:cs="宋体"/>
          <w:bCs/>
          <w:sz w:val="24"/>
        </w:rPr>
      </w:pPr>
      <w:r>
        <w:rPr>
          <w:rFonts w:asciiTheme="minorEastAsia" w:hAnsiTheme="minorEastAsia"/>
          <w:bCs/>
          <w:sz w:val="24"/>
        </w:rPr>
        <w:t xml:space="preserve">2. </w:t>
      </w:r>
      <w:r>
        <w:rPr>
          <w:rFonts w:hint="eastAsia" w:asciiTheme="minorEastAsia" w:hAnsiTheme="minorEastAsia"/>
          <w:bCs/>
          <w:sz w:val="24"/>
        </w:rPr>
        <w:t xml:space="preserve">“偏离情况”列应据实填写“正偏离”或“负偏离”。</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日期：_____年______月______日</w:t>
      </w:r>
      <w:r/>
    </w:p>
    <w:p>
      <w:pPr>
        <w:ind w:left="228" w:hanging="228"/>
        <w:spacing w:line="360" w:lineRule="auto"/>
        <w:rPr>
          <w:rFonts w:hint="eastAsia" w:ascii="宋体" w:hAnsi="宋体" w:cs="宋体"/>
          <w:sz w:val="24"/>
          <w:szCs w:val="20"/>
        </w:rPr>
        <w:outlineLvl w:val="2"/>
      </w:pPr>
      <w:r>
        <w:rPr>
          <w:rFonts w:hint="eastAsia" w:ascii="宋体" w:hAnsi="宋体" w:cs="宋体"/>
          <w:sz w:val="24"/>
          <w:szCs w:val="20"/>
        </w:rPr>
        <w:t xml:space="preserve">7 采购需求偏离表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采购需求偏离表</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t xml:space="preserve">项目编号/包号：_____________________项目名称_______________________</w:t>
      </w:r>
      <w:r/>
    </w:p>
    <w:p>
      <w:pPr>
        <w:contextualSpacing/>
        <w:ind w:left="228" w:hanging="228"/>
        <w:jc w:val="left"/>
        <w:spacing w:line="360" w:lineRule="auto"/>
        <w:rPr>
          <w:rFonts w:hint="eastAsia" w:ascii="宋体" w:hAnsi="宋体" w:cs="宋体"/>
          <w:bCs/>
          <w:sz w:val="24"/>
        </w:rPr>
      </w:pPr>
      <w:r>
        <w:rPr>
          <w:rFonts w:hint="eastAsia" w:ascii="宋体" w:hAnsi="宋体" w:cs="宋体"/>
          <w:bCs/>
          <w:sz w:val="24"/>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等线" w:hAnsi="等线"/>
                <w:bCs/>
                <w:sz w:val="24"/>
              </w:rPr>
            </w:pPr>
            <w:r>
              <w:rPr>
                <w:rFonts w:hint="eastAsia" w:ascii="等线" w:hAnsi="等线"/>
                <w:bCs/>
                <w:sz w:val="24"/>
              </w:rPr>
              <w:t xml:space="preserve">对本项目采购需求的偏离情况（请进行勾选）：</w:t>
            </w:r>
            <w:r/>
          </w:p>
          <w:p>
            <w:pPr>
              <w:contextualSpacing/>
              <w:ind w:left="228" w:hanging="228"/>
              <w:jc w:val="left"/>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无偏离（如无偏离，仅勾选无偏离即可）</w:t>
            </w:r>
            <w:r/>
          </w:p>
          <w:p>
            <w:pPr>
              <w:contextualSpacing/>
              <w:ind w:left="228" w:hanging="228"/>
              <w:spacing w:line="360" w:lineRule="auto"/>
              <w:rPr>
                <w:rFonts w:hint="eastAsia" w:ascii="等线" w:hAnsi="等线"/>
                <w:bCs/>
                <w:sz w:val="24"/>
              </w:rPr>
            </w:pPr>
            <w:r>
              <w:rPr>
                <w:rFonts w:ascii="等线" w:hAnsi="等线"/>
                <w:bCs/>
                <w:sz w:val="24"/>
              </w:rPr>
              <w:t xml:space="preserve">□</w:t>
            </w:r>
            <w:r>
              <w:rPr>
                <w:rFonts w:ascii="等线" w:hAnsi="等线"/>
                <w:bCs/>
                <w:sz w:val="24"/>
              </w:rPr>
              <w:t xml:space="preserve">有偏离（如有偏离，则须在本表中对偏离项逐一列明）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序号</w:t>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文件条目号（页码）</w:t>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招标</w:t>
            </w:r>
            <w:r>
              <w:rPr>
                <w:rFonts w:ascii="等线" w:hAnsi="等线"/>
                <w:bCs/>
                <w:sz w:val="24"/>
              </w:rPr>
              <w:t xml:space="preserve">文件要求</w:t>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t xml:space="preserve">投标</w:t>
            </w:r>
            <w:r>
              <w:rPr>
                <w:rFonts w:ascii="等线" w:hAnsi="等线"/>
                <w:bCs/>
                <w:sz w:val="24"/>
              </w:rPr>
              <w:t xml:space="preserve">文件内容</w:t>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偏离情况</w:t>
            </w:r>
            <w:r/>
          </w:p>
          <w:p>
            <w:pPr>
              <w:contextualSpacing/>
              <w:ind w:left="228" w:hanging="228"/>
              <w:jc w:val="center"/>
              <w:spacing w:line="360" w:lineRule="auto"/>
              <w:rPr>
                <w:rFonts w:hint="eastAsia" w:ascii="等线" w:hAnsi="等线"/>
                <w:bCs/>
                <w:sz w:val="24"/>
              </w:rPr>
            </w:pPr>
            <w:r>
              <w:rPr>
                <w:rFonts w:ascii="等线" w:hAnsi="等线"/>
                <w:bCs/>
                <w:sz w:val="24"/>
              </w:rPr>
              <w:t xml:space="preserve">（据实填写）</w:t>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ascii="等线" w:hAnsi="等线"/>
                <w:bCs/>
                <w:sz w:val="24"/>
              </w:rPr>
              <w:t xml:space="preserve">说明</w:t>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r>
        <w:trPr>
          <w:jc w:val="center"/>
          <w:trHeight w:val="930"/>
        </w:trPr>
        <w:tc>
          <w:tcPr>
            <w:tcW w:w="815"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849"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86"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571"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1602"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c>
          <w:tcPr>
            <w:tcW w:w="873" w:type="dxa"/>
            <w:vAlign w:val="center"/>
            <w:textDirection w:val="lrTb"/>
            <w:noWrap w:val="false"/>
          </w:tcPr>
          <w:p>
            <w:pPr>
              <w:contextualSpacing/>
              <w:ind w:left="228" w:hanging="228"/>
              <w:jc w:val="center"/>
              <w:spacing w:line="360" w:lineRule="auto"/>
              <w:rPr>
                <w:rFonts w:hint="eastAsia" w:ascii="等线" w:hAnsi="等线"/>
                <w:bCs/>
                <w:sz w:val="24"/>
              </w:rPr>
            </w:pPr>
            <w:r>
              <w:rPr>
                <w:rFonts w:hint="eastAsia" w:ascii="等线" w:hAnsi="等线"/>
                <w:bCs/>
                <w:sz w:val="24"/>
              </w:rPr>
            </w:r>
            <w:r/>
          </w:p>
        </w:tc>
      </w:tr>
    </w:tbl>
    <w:p>
      <w:pPr>
        <w:pStyle w:val="1026"/>
      </w:pPr>
      <w:r/>
      <w:r/>
    </w:p>
    <w:p>
      <w:pPr>
        <w:pStyle w:val="1026"/>
      </w:p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注：</w:t>
      </w:r>
      <w:r/>
    </w:p>
    <w:p>
      <w:pPr>
        <w:contextualSpacing/>
        <w:ind w:firstLine="480"/>
        <w:spacing w:line="360" w:lineRule="auto"/>
        <w:rPr>
          <w:rFonts w:hint="eastAsia" w:asciiTheme="minorEastAsia" w:hAnsiTheme="minorEastAsia"/>
          <w:bCs/>
          <w:sz w:val="24"/>
        </w:rPr>
      </w:pPr>
      <w:r>
        <w:rPr>
          <w:rFonts w:hint="eastAsia" w:asciiTheme="minorEastAsia" w:hAnsiTheme="minorEastAsia"/>
          <w:bCs/>
          <w:sz w:val="24"/>
        </w:rPr>
        <w:t xml:space="preserve">1</w:t>
      </w:r>
      <w:r>
        <w:rPr>
          <w:rFonts w:asciiTheme="minorEastAsia" w:hAnsiTheme="minorEastAsia"/>
          <w:bCs/>
          <w:sz w:val="24"/>
        </w:rPr>
        <w:t xml:space="preserve">. </w:t>
      </w:r>
      <w:r>
        <w:rPr>
          <w:rFonts w:asciiTheme="minorEastAsia" w:hAnsiTheme="minorEastAsia"/>
          <w:bCs/>
          <w:sz w:val="24"/>
        </w:rPr>
        <w:t xml:space="preserve">对招标文件中的所有商务、技术要求，除本表所列明的所有偏离外，均视作</w:t>
      </w:r>
      <w:r>
        <w:rPr>
          <w:rFonts w:hint="eastAsia" w:asciiTheme="minorEastAsia" w:hAnsiTheme="minorEastAsia"/>
          <w:bCs/>
          <w:sz w:val="24"/>
        </w:rPr>
        <w:t xml:space="preserve">投标人</w:t>
      </w:r>
      <w:r>
        <w:rPr>
          <w:rFonts w:asciiTheme="minorEastAsia" w:hAnsiTheme="minorEastAsia"/>
          <w:bCs/>
          <w:sz w:val="24"/>
        </w:rPr>
        <w:t xml:space="preserve">已对之理解和</w:t>
      </w:r>
      <w:r>
        <w:rPr>
          <w:rFonts w:hint="eastAsia" w:asciiTheme="minorEastAsia" w:hAnsiTheme="minorEastAsia"/>
          <w:bCs/>
          <w:sz w:val="24"/>
        </w:rPr>
        <w:t xml:space="preserve">响应</w:t>
      </w:r>
      <w:r>
        <w:rPr>
          <w:rFonts w:asciiTheme="minorEastAsia" w:hAnsiTheme="minorEastAsia"/>
          <w:bCs/>
          <w:sz w:val="24"/>
        </w:rPr>
        <w:t xml:space="preserve">。</w:t>
      </w:r>
      <w:r>
        <w:rPr>
          <w:rFonts w:hint="eastAsia" w:asciiTheme="minorEastAsia" w:hAnsiTheme="minorEastAsia"/>
          <w:bCs/>
          <w:sz w:val="24"/>
        </w:rPr>
        <w:t xml:space="preserve">此表中内容为空白，投标无效。</w:t>
      </w:r>
      <w:r/>
    </w:p>
    <w:p>
      <w:pPr>
        <w:contextualSpacing/>
        <w:ind w:firstLine="480"/>
        <w:spacing w:line="360" w:lineRule="auto"/>
        <w:rPr>
          <w:rFonts w:hint="eastAsia" w:ascii="宋体" w:hAnsi="宋体" w:cs="宋体"/>
          <w:bCs/>
          <w:sz w:val="24"/>
        </w:rPr>
      </w:pPr>
      <w:r>
        <w:rPr>
          <w:rFonts w:asciiTheme="minorEastAsia" w:hAnsiTheme="minorEastAsia"/>
          <w:bCs/>
          <w:sz w:val="24"/>
        </w:rPr>
        <w:t xml:space="preserve">2.</w:t>
      </w:r>
      <w:r>
        <w:rPr>
          <w:rFonts w:hint="eastAsia" w:asciiTheme="minorEastAsia" w:hAnsiTheme="minorEastAsia"/>
          <w:bCs/>
          <w:sz w:val="24"/>
        </w:rPr>
        <w:t xml:space="preserve">“偏离情况”列应</w:t>
      </w:r>
      <w:r>
        <w:rPr>
          <w:rFonts w:asciiTheme="minorEastAsia" w:hAnsiTheme="minorEastAsia"/>
          <w:bCs/>
          <w:sz w:val="24"/>
        </w:rPr>
        <w:t xml:space="preserve">据实</w:t>
      </w:r>
      <w:r>
        <w:rPr>
          <w:rFonts w:hint="eastAsia" w:asciiTheme="minorEastAsia" w:hAnsiTheme="minorEastAsia"/>
          <w:bCs/>
          <w:sz w:val="24"/>
        </w:rPr>
        <w:t xml:space="preserve">填写“正偏离”或“负偏离”。</w:t>
      </w:r>
      <w:r/>
    </w:p>
    <w:p>
      <w:pPr>
        <w:contextualSpacing/>
        <w:ind w:firstLine="480"/>
        <w:spacing w:line="360" w:lineRule="auto"/>
        <w:rPr>
          <w:rFonts w:hint="eastAsia" w:ascii="宋体" w:hAnsi="宋体" w:cs="宋体"/>
          <w:bCs/>
          <w:sz w:val="24"/>
        </w:rPr>
      </w:pPr>
      <w:r>
        <w:rPr>
          <w:rFonts w:hint="eastAsia" w:ascii="宋体" w:hAnsi="宋体" w:cs="宋体"/>
          <w:bCs/>
          <w:sz w:val="24"/>
        </w:rPr>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日期：_____年______月______日</w:t>
      </w:r>
      <w:r/>
    </w:p>
    <w:p>
      <w:pPr>
        <w:spacing w:line="360" w:lineRule="auto"/>
        <w:rPr>
          <w:rFonts w:hint="eastAsia" w:ascii="宋体" w:hAnsi="宋体" w:cs="宋体"/>
          <w:sz w:val="24"/>
        </w:rPr>
        <w:outlineLvl w:val="2"/>
      </w:pPr>
      <w:r>
        <w:rPr>
          <w:rFonts w:hint="eastAsia" w:ascii="宋体" w:hAnsi="宋体" w:cs="宋体"/>
          <w:sz w:val="24"/>
        </w:rPr>
        <w:t xml:space="preserve">8 项目实施方案等，包括但不限于如下主题：</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1）项目组织实施方案；</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2）项目管理方案；</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3）拟达到的标准，配备的人员、设备配置等；</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4）培训方案、技术支持等方案；</w:t>
      </w:r>
      <w:r/>
    </w:p>
    <w:p>
      <w:pPr>
        <w:contextualSpacing/>
        <w:ind w:firstLine="480"/>
        <w:spacing w:line="360" w:lineRule="auto"/>
        <w:rPr>
          <w:rFonts w:hint="eastAsia" w:ascii="宋体" w:hAnsi="宋体" w:cs="宋体"/>
          <w:bCs/>
          <w:sz w:val="24"/>
        </w:rPr>
      </w:pPr>
      <w:r>
        <w:rPr>
          <w:rFonts w:hint="eastAsia" w:ascii="宋体" w:hAnsi="宋体" w:cs="宋体"/>
          <w:bCs/>
          <w:sz w:val="24"/>
        </w:rPr>
        <w:t xml:space="preserve">5）优惠条款或承诺；</w:t>
      </w:r>
      <w:r/>
    </w:p>
    <w:p>
      <w:pPr>
        <w:contextualSpacing/>
        <w:ind w:firstLine="480"/>
        <w:spacing w:line="360" w:lineRule="auto"/>
        <w:rPr>
          <w:rFonts w:hint="eastAsia" w:ascii="宋体" w:hAnsi="宋体" w:cs="宋体"/>
          <w:bCs/>
          <w:sz w:val="2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Cs/>
          <w:sz w:val="24"/>
        </w:rPr>
        <w:t xml:space="preserve">6）其他。</w:t>
      </w:r>
      <w:r/>
    </w:p>
    <w:p>
      <w:pPr>
        <w:ind w:left="228" w:hanging="228"/>
        <w:spacing w:line="360" w:lineRule="auto"/>
        <w:rPr>
          <w:rFonts w:hint="eastAsia" w:ascii="宋体" w:hAnsi="宋体" w:cs="宋体"/>
          <w:sz w:val="24"/>
        </w:rPr>
        <w:outlineLvl w:val="2"/>
      </w:pPr>
      <w:r>
        <w:rPr>
          <w:rFonts w:hint="eastAsia" w:ascii="宋体" w:hAnsi="宋体" w:cs="宋体"/>
          <w:sz w:val="24"/>
        </w:rPr>
        <w:t xml:space="preserve">9 参加本项目人员一览表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参加本项目人员一览表</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项目编号： </w:t>
      </w: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责任</w:t>
            </w:r>
            <w:r/>
          </w:p>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项目经历或主要工作</w:t>
            </w:r>
            <w:r/>
          </w:p>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bl>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注：参加本项目人员须是投标人正式职工。</w:t>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日期：_____年______月______日   </w:t>
      </w:r>
      <w:bookmarkStart w:id="536" w:name="_Toc288738397"/>
      <w:r/>
      <w:bookmarkStart w:id="537" w:name="_Toc288738839"/>
      <w:r/>
      <w:r/>
    </w:p>
    <w:p>
      <w:pPr>
        <w:ind w:left="228" w:hanging="228"/>
        <w:spacing w:line="360" w:lineRule="auto"/>
        <w:rPr>
          <w:rFonts w:hint="eastAsia" w:ascii="宋体" w:hAnsi="宋体" w:cs="宋体"/>
          <w:sz w:val="24"/>
        </w:rPr>
        <w:outlineLvl w:val="2"/>
      </w:pPr>
      <w:r>
        <w:rPr>
          <w:rFonts w:hint="eastAsia" w:ascii="宋体" w:hAnsi="宋体" w:cs="宋体"/>
          <w:sz w:val="24"/>
        </w:rPr>
        <w:br w:type="page" w:clear="all"/>
      </w:r>
      <w:r>
        <w:rPr>
          <w:rFonts w:hint="eastAsia" w:ascii="宋体" w:hAnsi="宋体" w:cs="宋体"/>
          <w:sz w:val="24"/>
        </w:rPr>
        <w:t xml:space="preserve">10相关业绩案例一览表</w:t>
      </w:r>
      <w:r/>
    </w:p>
    <w:p>
      <w:pPr>
        <w:ind w:left="267" w:hanging="267"/>
        <w:jc w:val="center"/>
        <w:spacing w:line="360" w:lineRule="auto"/>
        <w:rPr>
          <w:rFonts w:hint="eastAsia" w:ascii="宋体" w:hAnsi="宋体" w:cs="宋体"/>
          <w:b/>
          <w:sz w:val="28"/>
          <w:szCs w:val="28"/>
        </w:rPr>
      </w:pPr>
      <w:r>
        <w:rPr>
          <w:rFonts w:hint="eastAsia" w:ascii="宋体" w:hAnsi="宋体" w:cs="宋体"/>
          <w:b/>
          <w:sz w:val="28"/>
          <w:szCs w:val="28"/>
        </w:rPr>
        <w:t xml:space="preserve">相关业绩案例一览表</w:t>
      </w:r>
      <w:bookmarkEnd w:id="536"/>
      <w:r/>
      <w:bookmarkEnd w:id="537"/>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项目编号：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cs="宋体"/>
                <w:bCs/>
                <w:sz w:val="24"/>
              </w:rPr>
            </w:pPr>
            <w:r>
              <w:rPr>
                <w:rFonts w:hint="eastAsia" w:ascii="宋体" w:hAnsi="宋体" w:cs="宋体"/>
                <w:bCs/>
                <w:sz w:val="24"/>
              </w:rPr>
            </w:r>
            <w:r/>
          </w:p>
        </w:tc>
      </w:tr>
    </w:tbl>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t xml:space="preserve">投标人名称（加盖公章）：    ____________</w:t>
      </w:r>
      <w:r/>
    </w:p>
    <w:p>
      <w:pPr>
        <w:pStyle w:val="1026"/>
      </w:pPr>
      <w:r>
        <w:rPr>
          <w:rFonts w:hint="eastAsia"/>
        </w:rPr>
        <w:t xml:space="preserve">日期：</w:t>
      </w:r>
      <w:r>
        <w:rPr>
          <w:rFonts w:hint="eastAsia"/>
        </w:rPr>
        <w:t xml:space="preserve">_____</w:t>
      </w:r>
      <w:r>
        <w:rPr>
          <w:rFonts w:hint="eastAsia"/>
        </w:rPr>
        <w:t xml:space="preserve">年</w:t>
      </w:r>
      <w:r>
        <w:rPr>
          <w:rFonts w:hint="eastAsia"/>
        </w:rPr>
        <w:t xml:space="preserve">______</w:t>
      </w:r>
      <w:r>
        <w:rPr>
          <w:rFonts w:hint="eastAsia"/>
        </w:rPr>
        <w:t xml:space="preserve">月</w:t>
      </w:r>
      <w:r>
        <w:rPr>
          <w:rFonts w:hint="eastAsia"/>
        </w:rPr>
        <w:t xml:space="preserve">______</w:t>
      </w:r>
      <w:r>
        <w:rPr>
          <w:rFonts w:hint="eastAsia"/>
        </w:rPr>
        <w:t xml:space="preserve">日</w:t>
      </w:r>
      <w:r>
        <w:rPr>
          <w:rFonts w:hint="eastAsia"/>
        </w:rPr>
        <w:t xml:space="preserve">   </w:t>
      </w:r>
      <w:r/>
    </w:p>
    <w:p>
      <w:pPr>
        <w:pStyle w:val="1026"/>
        <w:sectPr>
          <w:footnotePr/>
          <w:endnotePr/>
          <w:type w:val="nextPage"/>
          <w:pgSz w:w="11906" w:h="16838" w:orient="portrait"/>
          <w:pgMar w:top="1440" w:right="1800" w:bottom="1440" w:left="1800" w:header="851" w:footer="992" w:gutter="0"/>
          <w:cols w:num="1" w:sep="0" w:space="720" w:equalWidth="1"/>
          <w:docGrid w:linePitch="360"/>
        </w:sectPr>
      </w:pPr>
      <w:r/>
      <w:r/>
    </w:p>
    <w:p>
      <w:pPr>
        <w:ind w:left="228" w:hanging="228"/>
        <w:spacing w:line="360" w:lineRule="auto"/>
        <w:rPr>
          <w:rFonts w:hint="eastAsia" w:ascii="宋体" w:hAnsi="宋体" w:cs="宋体"/>
          <w:sz w:val="24"/>
        </w:rPr>
        <w:outlineLvl w:val="2"/>
      </w:pPr>
      <w:r>
        <w:rPr>
          <w:rFonts w:hint="eastAsia" w:ascii="宋体" w:hAnsi="宋体" w:cs="宋体"/>
          <w:sz w:val="24"/>
        </w:rPr>
        <w:t xml:space="preserve">11 招标文件要求提供或投标人认为应附的其他材料</w:t>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contextualSpacing/>
        <w:ind w:left="228" w:hanging="228"/>
        <w:spacing w:line="360" w:lineRule="auto"/>
        <w:rPr>
          <w:rFonts w:hint="eastAsia" w:ascii="宋体" w:hAnsi="宋体" w:cs="宋体"/>
          <w:bCs/>
          <w:sz w:val="24"/>
        </w:rPr>
      </w:pPr>
      <w:r>
        <w:rPr>
          <w:rFonts w:hint="eastAsia" w:ascii="宋体" w:hAnsi="宋体" w:cs="宋体"/>
          <w:bCs/>
          <w:sz w:val="24"/>
        </w:rPr>
      </w:r>
      <w:r/>
    </w:p>
    <w:p>
      <w:pPr>
        <w:ind w:left="228" w:hanging="228"/>
        <w:jc w:val="center"/>
        <w:spacing w:line="360" w:lineRule="auto"/>
        <w:rPr>
          <w:rFonts w:hint="eastAsia" w:ascii="宋体" w:hAnsi="宋体" w:cs="宋体"/>
          <w:sz w:val="24"/>
        </w:rPr>
        <w:outlineLvl w:val="2"/>
      </w:pPr>
      <w:r>
        <w:rPr>
          <w:rFonts w:hint="eastAsia" w:ascii="宋体" w:hAnsi="宋体" w:cs="宋体"/>
          <w:sz w:val="24"/>
        </w:rPr>
        <w:t xml:space="preserve">（全文完）</w:t>
      </w:r>
      <w:r/>
    </w:p>
    <w:p>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仿宋">
    <w:panose1 w:val="02010609060101010101"/>
  </w:font>
  <w:font w:name="楷体_GB2312">
    <w:panose1 w:val="02010609060101010101"/>
  </w:font>
  <w:font w:name="黑体">
    <w:panose1 w:val="02010609060101010101"/>
  </w:font>
  <w:font w:name="幼圆">
    <w:panose1 w:val="02010509060101010101"/>
  </w:font>
  <w:font w:name="仿宋_GB2312">
    <w:panose1 w:val="02010609060101010101"/>
  </w:font>
  <w:font w:name="Courier New">
    <w:panose1 w:val="02070309020205020404"/>
  </w:font>
  <w:font w:name="Cambria">
    <w:panose1 w:val="020405030504060302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61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3413620"/>
      <w:rPr/>
    </w:sdtPr>
    <w:sdtContent>
      <w:p>
        <w:pPr>
          <w:pStyle w:val="1035"/>
          <w:jc w:val="center"/>
        </w:pPr>
        <w:r>
          <w:fldChar w:fldCharType="begin"/>
        </w:r>
        <w:r>
          <w:instrText xml:space="preserve">PAGE   \* MERGEFORMAT</w:instrText>
        </w:r>
        <w:r>
          <w:fldChar w:fldCharType="separate"/>
        </w:r>
        <w:r>
          <w:rPr>
            <w:lang w:val="zh-CN"/>
          </w:rPr>
          <w:t xml:space="preserve">30</w:t>
        </w:r>
        <w:r>
          <w:fldChar w:fldCharType="end"/>
        </w:r>
        <w:r/>
      </w:p>
    </w:sdtContent>
  </w:sdt>
  <w:p>
    <w:pPr>
      <w:pStyle w:val="1035"/>
      <w:tabs>
        <w:tab w:val="clear"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21833139"/>
      <w:rPr/>
    </w:sdtPr>
    <w:sdtContent>
      <w:p>
        <w:pPr>
          <w:pStyle w:val="1035"/>
          <w:jc w:val="center"/>
        </w:pPr>
        <w:r>
          <w:fldChar w:fldCharType="begin"/>
        </w:r>
        <w:r>
          <w:instrText xml:space="preserve">PAGE   \* MERGEFORMAT</w:instrText>
        </w:r>
        <w:r>
          <w:fldChar w:fldCharType="separate"/>
        </w:r>
        <w:r>
          <w:rPr>
            <w:lang w:val="zh-CN"/>
          </w:rPr>
          <w:t xml:space="preserve">40</w:t>
        </w:r>
        <w:r>
          <w:fldChar w:fldCharType="end"/>
        </w:r>
        <w:r/>
      </w:p>
    </w:sdtContent>
  </w:sdt>
  <w:p>
    <w:pPr>
      <w:pStyle w:val="103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091"/>
      <w:isLgl w:val="false"/>
      <w:suff w:val="tab"/>
      <w:lvlText w:val=""/>
      <w:lvlJc w:val="left"/>
      <w:pPr>
        <w:ind w:left="851" w:hanging="284"/>
        <w:tabs>
          <w:tab w:val="left" w:pos="927" w:leader="none"/>
        </w:tabs>
      </w:pPr>
      <w:rPr>
        <w:rFonts w:hint="default"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777"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8"/>
  </w:num>
  <w:num w:numId="2">
    <w:abstractNumId w:val="3"/>
  </w:num>
  <w:num w:numId="3">
    <w:abstractNumId w:val="9"/>
  </w:num>
  <w:num w:numId="4">
    <w:abstractNumId w:val="10"/>
  </w:num>
  <w:num w:numId="5">
    <w:abstractNumId w:val="6"/>
  </w:num>
  <w:num w:numId="6">
    <w:abstractNumId w:val="2"/>
  </w:num>
  <w:num w:numId="7">
    <w:abstractNumId w:val="1"/>
  </w:num>
  <w:num w:numId="8">
    <w:abstractNumId w:val="4"/>
  </w:num>
  <w:num w:numId="9">
    <w:abstractNumId w:val="5"/>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3">
    <w:name w:val="Heading 1 Char"/>
    <w:basedOn w:val="1023"/>
    <w:link w:val="1020"/>
    <w:uiPriority w:val="9"/>
    <w:rPr>
      <w:rFonts w:ascii="Arial" w:hAnsi="Arial" w:eastAsia="Arial" w:cs="Arial"/>
      <w:sz w:val="40"/>
      <w:szCs w:val="40"/>
    </w:rPr>
  </w:style>
  <w:style w:type="character" w:styleId="854">
    <w:name w:val="Heading 2 Char"/>
    <w:basedOn w:val="1023"/>
    <w:link w:val="1021"/>
    <w:uiPriority w:val="9"/>
    <w:rPr>
      <w:rFonts w:ascii="Arial" w:hAnsi="Arial" w:eastAsia="Arial" w:cs="Arial"/>
      <w:sz w:val="34"/>
    </w:rPr>
  </w:style>
  <w:style w:type="paragraph" w:styleId="855">
    <w:name w:val="Heading 4"/>
    <w:basedOn w:val="1019"/>
    <w:next w:val="1019"/>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basedOn w:val="1023"/>
    <w:link w:val="855"/>
    <w:uiPriority w:val="9"/>
    <w:rPr>
      <w:rFonts w:ascii="Arial" w:hAnsi="Arial" w:eastAsia="Arial" w:cs="Arial"/>
      <w:b/>
      <w:bCs/>
      <w:sz w:val="26"/>
      <w:szCs w:val="26"/>
    </w:rPr>
  </w:style>
  <w:style w:type="paragraph" w:styleId="857">
    <w:name w:val="Heading 5"/>
    <w:basedOn w:val="1019"/>
    <w:next w:val="1019"/>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basedOn w:val="1023"/>
    <w:link w:val="857"/>
    <w:uiPriority w:val="9"/>
    <w:rPr>
      <w:rFonts w:ascii="Arial" w:hAnsi="Arial" w:eastAsia="Arial" w:cs="Arial"/>
      <w:b/>
      <w:bCs/>
      <w:sz w:val="24"/>
      <w:szCs w:val="24"/>
    </w:rPr>
  </w:style>
  <w:style w:type="paragraph" w:styleId="859">
    <w:name w:val="Heading 6"/>
    <w:basedOn w:val="1019"/>
    <w:next w:val="1019"/>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basedOn w:val="1023"/>
    <w:link w:val="859"/>
    <w:uiPriority w:val="9"/>
    <w:rPr>
      <w:rFonts w:ascii="Arial" w:hAnsi="Arial" w:eastAsia="Arial" w:cs="Arial"/>
      <w:b/>
      <w:bCs/>
      <w:sz w:val="22"/>
      <w:szCs w:val="22"/>
    </w:rPr>
  </w:style>
  <w:style w:type="paragraph" w:styleId="861">
    <w:name w:val="Heading 7"/>
    <w:basedOn w:val="1019"/>
    <w:next w:val="1019"/>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basedOn w:val="1023"/>
    <w:link w:val="861"/>
    <w:uiPriority w:val="9"/>
    <w:rPr>
      <w:rFonts w:ascii="Arial" w:hAnsi="Arial" w:eastAsia="Arial" w:cs="Arial"/>
      <w:b/>
      <w:bCs/>
      <w:i/>
      <w:iCs/>
      <w:sz w:val="22"/>
      <w:szCs w:val="22"/>
    </w:rPr>
  </w:style>
  <w:style w:type="paragraph" w:styleId="863">
    <w:name w:val="Heading 8"/>
    <w:basedOn w:val="1019"/>
    <w:next w:val="1019"/>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basedOn w:val="1023"/>
    <w:link w:val="863"/>
    <w:uiPriority w:val="9"/>
    <w:rPr>
      <w:rFonts w:ascii="Arial" w:hAnsi="Arial" w:eastAsia="Arial" w:cs="Arial"/>
      <w:i/>
      <w:iCs/>
      <w:sz w:val="22"/>
      <w:szCs w:val="22"/>
    </w:rPr>
  </w:style>
  <w:style w:type="paragraph" w:styleId="865">
    <w:name w:val="Heading 9"/>
    <w:basedOn w:val="1019"/>
    <w:next w:val="1019"/>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basedOn w:val="1023"/>
    <w:link w:val="865"/>
    <w:uiPriority w:val="9"/>
    <w:rPr>
      <w:rFonts w:ascii="Arial" w:hAnsi="Arial" w:eastAsia="Arial" w:cs="Arial"/>
      <w:i/>
      <w:iCs/>
      <w:sz w:val="21"/>
      <w:szCs w:val="21"/>
    </w:rPr>
  </w:style>
  <w:style w:type="paragraph" w:styleId="867">
    <w:name w:val="No Spacing"/>
    <w:uiPriority w:val="1"/>
    <w:qFormat/>
    <w:pPr>
      <w:spacing w:before="0" w:after="0" w:line="240" w:lineRule="auto"/>
    </w:pPr>
  </w:style>
  <w:style w:type="paragraph" w:styleId="868">
    <w:name w:val="Title"/>
    <w:basedOn w:val="1019"/>
    <w:next w:val="1019"/>
    <w:link w:val="869"/>
    <w:uiPriority w:val="10"/>
    <w:qFormat/>
    <w:pPr>
      <w:contextualSpacing/>
      <w:spacing w:before="300" w:after="200"/>
    </w:pPr>
    <w:rPr>
      <w:sz w:val="48"/>
      <w:szCs w:val="48"/>
    </w:rPr>
  </w:style>
  <w:style w:type="character" w:styleId="869">
    <w:name w:val="Title Char"/>
    <w:basedOn w:val="1023"/>
    <w:link w:val="868"/>
    <w:uiPriority w:val="10"/>
    <w:rPr>
      <w:sz w:val="48"/>
      <w:szCs w:val="48"/>
    </w:rPr>
  </w:style>
  <w:style w:type="paragraph" w:styleId="870">
    <w:name w:val="Subtitle"/>
    <w:basedOn w:val="1019"/>
    <w:next w:val="1019"/>
    <w:link w:val="871"/>
    <w:uiPriority w:val="11"/>
    <w:qFormat/>
    <w:pPr>
      <w:spacing w:before="200" w:after="200"/>
    </w:pPr>
    <w:rPr>
      <w:sz w:val="24"/>
      <w:szCs w:val="24"/>
    </w:rPr>
  </w:style>
  <w:style w:type="character" w:styleId="871">
    <w:name w:val="Subtitle Char"/>
    <w:basedOn w:val="1023"/>
    <w:link w:val="870"/>
    <w:uiPriority w:val="11"/>
    <w:rPr>
      <w:sz w:val="24"/>
      <w:szCs w:val="24"/>
    </w:rPr>
  </w:style>
  <w:style w:type="paragraph" w:styleId="872">
    <w:name w:val="Quote"/>
    <w:basedOn w:val="1019"/>
    <w:next w:val="1019"/>
    <w:link w:val="873"/>
    <w:uiPriority w:val="29"/>
    <w:qFormat/>
    <w:pPr>
      <w:ind w:left="720" w:right="720"/>
    </w:pPr>
    <w:rPr>
      <w:i/>
    </w:rPr>
  </w:style>
  <w:style w:type="character" w:styleId="873">
    <w:name w:val="Quote Char"/>
    <w:link w:val="872"/>
    <w:uiPriority w:val="29"/>
    <w:rPr>
      <w:i/>
    </w:rPr>
  </w:style>
  <w:style w:type="paragraph" w:styleId="874">
    <w:name w:val="Intense Quote"/>
    <w:basedOn w:val="1019"/>
    <w:next w:val="1019"/>
    <w:link w:val="8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5">
    <w:name w:val="Intense Quote Char"/>
    <w:link w:val="874"/>
    <w:uiPriority w:val="30"/>
    <w:rPr>
      <w:i/>
    </w:rPr>
  </w:style>
  <w:style w:type="character" w:styleId="876">
    <w:name w:val="Header Char"/>
    <w:basedOn w:val="1023"/>
    <w:link w:val="1036"/>
    <w:uiPriority w:val="99"/>
  </w:style>
  <w:style w:type="character" w:styleId="877">
    <w:name w:val="Footer Char"/>
    <w:basedOn w:val="1023"/>
    <w:link w:val="1035"/>
    <w:uiPriority w:val="99"/>
  </w:style>
  <w:style w:type="paragraph" w:styleId="878">
    <w:name w:val="Caption"/>
    <w:basedOn w:val="1019"/>
    <w:next w:val="1019"/>
    <w:uiPriority w:val="35"/>
    <w:semiHidden/>
    <w:unhideWhenUsed/>
    <w:qFormat/>
    <w:pPr>
      <w:spacing w:line="276" w:lineRule="auto"/>
    </w:pPr>
    <w:rPr>
      <w:b/>
      <w:bCs/>
      <w:color w:val="4f81bd" w:themeColor="accent1"/>
      <w:sz w:val="18"/>
      <w:szCs w:val="18"/>
    </w:rPr>
  </w:style>
  <w:style w:type="character" w:styleId="879">
    <w:name w:val="Caption Char"/>
    <w:basedOn w:val="878"/>
    <w:link w:val="1035"/>
    <w:uiPriority w:val="99"/>
  </w:style>
  <w:style w:type="table" w:styleId="880">
    <w:name w:val="Table Grid Light"/>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basedOn w:val="102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basedOn w:val="102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basedOn w:val="102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basedOn w:val="102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basedOn w:val="102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basedOn w:val="102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basedOn w:val="102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basedOn w:val="102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basedOn w:val="102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basedOn w:val="102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basedOn w:val="102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basedOn w:val="102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basedOn w:val="102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basedOn w:val="102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basedOn w:val="102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basedOn w:val="102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basedOn w:val="102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basedOn w:val="102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916">
    <w:name w:val="Grid Table 5 Dark - Accent 2"/>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7">
    <w:name w:val="Grid Table 5 Dark - Accent 3"/>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8">
    <w:name w:val="Grid Table 5 Dark- Accent 4"/>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9">
    <w:name w:val="Grid Table 5 Dark - Accent 5"/>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920">
    <w:name w:val="Grid Table 5 Dark - Accent 6"/>
    <w:basedOn w:val="102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21">
    <w:name w:val="Grid Table 6 Colorful"/>
    <w:basedOn w:val="102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basedOn w:val="102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basedOn w:val="102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basedOn w:val="102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7">
    <w:name w:val="Grid Table 6 Colorful - Accent 6"/>
    <w:basedOn w:val="102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28">
    <w:name w:val="Grid Table 7 Colorful"/>
    <w:basedOn w:val="102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basedOn w:val="102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basedOn w:val="102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basedOn w:val="102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basedOn w:val="102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basedOn w:val="102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basedOn w:val="102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basedOn w:val="102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basedOn w:val="1024"/>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basedOn w:val="102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basedOn w:val="102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basedOn w:val="102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basedOn w:val="1024"/>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basedOn w:val="102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basedOn w:val="102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basedOn w:val="102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basedOn w:val="102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basedOn w:val="102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basedOn w:val="102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basedOn w:val="102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basedOn w:val="102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basedOn w:val="102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1">
    <w:name w:val="List Table 3 - Accent 2"/>
    <w:basedOn w:val="102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2">
    <w:name w:val="List Table 3 - Accent 3"/>
    <w:basedOn w:val="102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3">
    <w:name w:val="List Table 3 - Accent 4"/>
    <w:basedOn w:val="102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4">
    <w:name w:val="List Table 3 - Accent 5"/>
    <w:basedOn w:val="102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955">
    <w:name w:val="List Table 3 - Accent 6"/>
    <w:basedOn w:val="102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6">
    <w:name w:val="List Table 4"/>
    <w:basedOn w:val="102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basedOn w:val="102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958">
    <w:name w:val="List Table 4 - Accent 2"/>
    <w:basedOn w:val="102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9">
    <w:name w:val="List Table 4 - Accent 3"/>
    <w:basedOn w:val="102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60">
    <w:name w:val="List Table 4 - Accent 4"/>
    <w:basedOn w:val="102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61">
    <w:name w:val="List Table 4 - Accent 5"/>
    <w:basedOn w:val="102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962">
    <w:name w:val="List Table 4 - Accent 6"/>
    <w:basedOn w:val="102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3">
    <w:name w:val="List Table 5 Dark"/>
    <w:basedOn w:val="102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basedOn w:val="102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basedOn w:val="102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basedOn w:val="102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basedOn w:val="102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basedOn w:val="102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basedOn w:val="102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basedOn w:val="102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basedOn w:val="102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972">
    <w:name w:val="List Table 6 Colorful - Accent 2"/>
    <w:basedOn w:val="102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3">
    <w:name w:val="List Table 6 Colorful - Accent 3"/>
    <w:basedOn w:val="102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4">
    <w:name w:val="List Table 6 Colorful - Accent 4"/>
    <w:basedOn w:val="102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5">
    <w:name w:val="List Table 6 Colorful - Accent 5"/>
    <w:basedOn w:val="102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976">
    <w:name w:val="List Table 6 Colorful - Accent 6"/>
    <w:basedOn w:val="102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7">
    <w:name w:val="List Table 7 Colorful"/>
    <w:basedOn w:val="102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basedOn w:val="102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979">
    <w:name w:val="List Table 7 Colorful - Accent 2"/>
    <w:basedOn w:val="102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80">
    <w:name w:val="List Table 7 Colorful - Accent 3"/>
    <w:basedOn w:val="102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81">
    <w:name w:val="List Table 7 Colorful - Accent 4"/>
    <w:basedOn w:val="102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2">
    <w:name w:val="List Table 7 Colorful - Accent 5"/>
    <w:basedOn w:val="102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983">
    <w:name w:val="List Table 7 Colorful - Accent 6"/>
    <w:basedOn w:val="102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4">
    <w:name w:val="Lined - Accent"/>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86">
    <w:name w:val="Lined - Accent 2"/>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7">
    <w:name w:val="Lined - Accent 3"/>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8">
    <w:name w:val="Lined - Accent 4"/>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9">
    <w:name w:val="Lined - Accent 5"/>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0">
    <w:name w:val="Lined - Accent 6"/>
    <w:basedOn w:val="102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1">
    <w:name w:val="Bordered &amp; Lined - Accent"/>
    <w:basedOn w:val="102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basedOn w:val="102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993">
    <w:name w:val="Bordered &amp; Lined - Accent 2"/>
    <w:basedOn w:val="102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4">
    <w:name w:val="Bordered &amp; Lined - Accent 3"/>
    <w:basedOn w:val="102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5">
    <w:name w:val="Bordered &amp; Lined - Accent 4"/>
    <w:basedOn w:val="102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6">
    <w:name w:val="Bordered &amp; Lined - Accent 5"/>
    <w:basedOn w:val="102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997">
    <w:name w:val="Bordered &amp; Lined - Accent 6"/>
    <w:basedOn w:val="102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8">
    <w:name w:val="Bordered"/>
    <w:basedOn w:val="102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basedOn w:val="102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basedOn w:val="102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basedOn w:val="102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basedOn w:val="102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basedOn w:val="102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basedOn w:val="102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Footnote Text Char"/>
    <w:link w:val="1039"/>
    <w:uiPriority w:val="99"/>
    <w:rPr>
      <w:sz w:val="18"/>
    </w:rPr>
  </w:style>
  <w:style w:type="character" w:styleId="1006">
    <w:name w:val="footnote reference"/>
    <w:basedOn w:val="1023"/>
    <w:uiPriority w:val="99"/>
    <w:unhideWhenUsed/>
    <w:rPr>
      <w:vertAlign w:val="superscript"/>
    </w:rPr>
  </w:style>
  <w:style w:type="paragraph" w:styleId="1007">
    <w:name w:val="endnote text"/>
    <w:basedOn w:val="1019"/>
    <w:link w:val="1008"/>
    <w:uiPriority w:val="99"/>
    <w:semiHidden/>
    <w:unhideWhenUsed/>
    <w:pPr>
      <w:spacing w:after="0" w:line="240" w:lineRule="auto"/>
    </w:pPr>
    <w:rPr>
      <w:sz w:val="20"/>
    </w:rPr>
  </w:style>
  <w:style w:type="character" w:styleId="1008">
    <w:name w:val="Endnote Text Char"/>
    <w:link w:val="1007"/>
    <w:uiPriority w:val="99"/>
    <w:rPr>
      <w:sz w:val="20"/>
    </w:rPr>
  </w:style>
  <w:style w:type="character" w:styleId="1009">
    <w:name w:val="endnote reference"/>
    <w:basedOn w:val="1023"/>
    <w:uiPriority w:val="99"/>
    <w:semiHidden/>
    <w:unhideWhenUsed/>
    <w:rPr>
      <w:vertAlign w:val="superscript"/>
    </w:rPr>
  </w:style>
  <w:style w:type="paragraph" w:styleId="1010">
    <w:name w:val="toc 2"/>
    <w:basedOn w:val="1019"/>
    <w:next w:val="1019"/>
    <w:uiPriority w:val="39"/>
    <w:unhideWhenUsed/>
    <w:pPr>
      <w:ind w:left="283" w:right="0" w:firstLine="0"/>
      <w:spacing w:after="57"/>
    </w:pPr>
  </w:style>
  <w:style w:type="paragraph" w:styleId="1011">
    <w:name w:val="toc 3"/>
    <w:basedOn w:val="1019"/>
    <w:next w:val="1019"/>
    <w:uiPriority w:val="39"/>
    <w:unhideWhenUsed/>
    <w:pPr>
      <w:ind w:left="567" w:right="0" w:firstLine="0"/>
      <w:spacing w:after="57"/>
    </w:pPr>
  </w:style>
  <w:style w:type="paragraph" w:styleId="1012">
    <w:name w:val="toc 5"/>
    <w:basedOn w:val="1019"/>
    <w:next w:val="1019"/>
    <w:uiPriority w:val="39"/>
    <w:unhideWhenUsed/>
    <w:pPr>
      <w:ind w:left="1134" w:right="0" w:firstLine="0"/>
      <w:spacing w:after="57"/>
    </w:pPr>
  </w:style>
  <w:style w:type="paragraph" w:styleId="1013">
    <w:name w:val="toc 6"/>
    <w:basedOn w:val="1019"/>
    <w:next w:val="1019"/>
    <w:uiPriority w:val="39"/>
    <w:unhideWhenUsed/>
    <w:pPr>
      <w:ind w:left="1417" w:right="0" w:firstLine="0"/>
      <w:spacing w:after="57"/>
    </w:pPr>
  </w:style>
  <w:style w:type="paragraph" w:styleId="1014">
    <w:name w:val="toc 7"/>
    <w:basedOn w:val="1019"/>
    <w:next w:val="1019"/>
    <w:uiPriority w:val="39"/>
    <w:unhideWhenUsed/>
    <w:pPr>
      <w:ind w:left="1701" w:right="0" w:firstLine="0"/>
      <w:spacing w:after="57"/>
    </w:pPr>
  </w:style>
  <w:style w:type="paragraph" w:styleId="1015">
    <w:name w:val="toc 8"/>
    <w:basedOn w:val="1019"/>
    <w:next w:val="1019"/>
    <w:uiPriority w:val="39"/>
    <w:unhideWhenUsed/>
    <w:pPr>
      <w:ind w:left="1984" w:right="0" w:firstLine="0"/>
      <w:spacing w:after="57"/>
    </w:pPr>
  </w:style>
  <w:style w:type="paragraph" w:styleId="1016">
    <w:name w:val="toc 9"/>
    <w:basedOn w:val="1019"/>
    <w:next w:val="1019"/>
    <w:uiPriority w:val="39"/>
    <w:unhideWhenUsed/>
    <w:pPr>
      <w:ind w:left="2268" w:right="0" w:firstLine="0"/>
      <w:spacing w:after="57"/>
    </w:pPr>
  </w:style>
  <w:style w:type="paragraph" w:styleId="1017">
    <w:name w:val="TOC Heading"/>
    <w:uiPriority w:val="39"/>
    <w:unhideWhenUsed/>
  </w:style>
  <w:style w:type="paragraph" w:styleId="1018">
    <w:name w:val="table of figures"/>
    <w:basedOn w:val="1019"/>
    <w:next w:val="1019"/>
    <w:uiPriority w:val="99"/>
    <w:unhideWhenUsed/>
    <w:pPr>
      <w:spacing w:after="0" w:afterAutospacing="0"/>
    </w:pPr>
  </w:style>
  <w:style w:type="paragraph" w:styleId="1019" w:default="1">
    <w:name w:val="Normal"/>
    <w:next w:val="1026"/>
    <w:qFormat/>
    <w:pPr>
      <w:jc w:val="both"/>
      <w:widowControl w:val="off"/>
    </w:pPr>
    <w:rPr>
      <w:rFonts w:ascii="Calibri" w:hAnsi="Calibri"/>
      <w:sz w:val="21"/>
      <w:szCs w:val="22"/>
    </w:rPr>
  </w:style>
  <w:style w:type="paragraph" w:styleId="1020">
    <w:name w:val="Heading 1"/>
    <w:basedOn w:val="1019"/>
    <w:next w:val="1019"/>
    <w:link w:val="1062"/>
    <w:uiPriority w:val="9"/>
    <w:qFormat/>
    <w:pPr>
      <w:jc w:val="center"/>
      <w:spacing w:line="360" w:lineRule="auto"/>
      <w:outlineLvl w:val="0"/>
    </w:pPr>
    <w:rPr>
      <w:b/>
      <w:sz w:val="36"/>
      <w:szCs w:val="36"/>
    </w:rPr>
  </w:style>
  <w:style w:type="paragraph" w:styleId="1021">
    <w:name w:val="Heading 2"/>
    <w:basedOn w:val="1019"/>
    <w:next w:val="1019"/>
    <w:link w:val="1063"/>
    <w:uiPriority w:val="9"/>
    <w:unhideWhenUsed/>
    <w:qFormat/>
    <w:pPr>
      <w:keepLines/>
      <w:keepNext/>
      <w:spacing w:before="260" w:after="260" w:line="416" w:lineRule="auto"/>
      <w:outlineLvl w:val="1"/>
    </w:pPr>
    <w:rPr>
      <w:rFonts w:ascii="Cambria" w:hAnsi="Cambria"/>
      <w:b/>
      <w:bCs/>
      <w:sz w:val="32"/>
      <w:szCs w:val="32"/>
    </w:rPr>
  </w:style>
  <w:style w:type="paragraph" w:styleId="1022">
    <w:name w:val="Heading 3"/>
    <w:basedOn w:val="1019"/>
    <w:next w:val="1019"/>
    <w:link w:val="1054"/>
    <w:uiPriority w:val="9"/>
    <w:unhideWhenUsed/>
    <w:qFormat/>
    <w:pPr>
      <w:keepLines/>
      <w:keepNext/>
      <w:spacing w:before="260" w:after="260" w:line="416" w:lineRule="auto"/>
      <w:outlineLvl w:val="2"/>
    </w:pPr>
    <w:rPr>
      <w:b/>
      <w:bCs/>
      <w:sz w:val="32"/>
      <w:szCs w:val="32"/>
    </w:rPr>
  </w:style>
  <w:style w:type="character" w:styleId="1023" w:default="1">
    <w:name w:val="Default Paragraph Font"/>
    <w:uiPriority w:val="1"/>
    <w:semiHidden/>
    <w:unhideWhenUsed/>
  </w:style>
  <w:style w:type="table" w:styleId="1024" w:default="1">
    <w:name w:val="Normal Table"/>
    <w:uiPriority w:val="99"/>
    <w:semiHidden/>
    <w:unhideWhenUsed/>
    <w:tblPr>
      <w:tblInd w:w="0" w:type="dxa"/>
      <w:tblCellMar>
        <w:left w:w="108" w:type="dxa"/>
        <w:top w:w="0" w:type="dxa"/>
        <w:right w:w="108" w:type="dxa"/>
        <w:bottom w:w="0" w:type="dxa"/>
      </w:tblCellMar>
    </w:tblPr>
  </w:style>
  <w:style w:type="numbering" w:styleId="1025" w:default="1">
    <w:name w:val="No List"/>
    <w:uiPriority w:val="99"/>
    <w:semiHidden/>
    <w:unhideWhenUsed/>
  </w:style>
  <w:style w:type="paragraph" w:styleId="1026">
    <w:name w:val="Body Text"/>
    <w:basedOn w:val="1019"/>
    <w:next w:val="1019"/>
    <w:link w:val="1055"/>
    <w:unhideWhenUsed/>
    <w:qFormat/>
    <w:pPr>
      <w:spacing w:after="120"/>
    </w:pPr>
  </w:style>
  <w:style w:type="paragraph" w:styleId="1027">
    <w:name w:val="Normal Indent"/>
    <w:basedOn w:val="1019"/>
    <w:link w:val="1064"/>
    <w:uiPriority w:val="99"/>
    <w:qFormat/>
    <w:pPr>
      <w:ind w:firstLine="420"/>
      <w:jc w:val="left"/>
    </w:pPr>
    <w:rPr>
      <w:rFonts w:ascii="宋体" w:hAnsi="Times New Roman"/>
      <w:sz w:val="24"/>
      <w:szCs w:val="24"/>
    </w:rPr>
  </w:style>
  <w:style w:type="paragraph" w:styleId="1028">
    <w:name w:val="index 5"/>
    <w:basedOn w:val="1019"/>
    <w:next w:val="1019"/>
    <w:uiPriority w:val="99"/>
    <w:unhideWhenUsed/>
    <w:qFormat/>
    <w:pPr>
      <w:ind w:left="800"/>
    </w:pPr>
  </w:style>
  <w:style w:type="paragraph" w:styleId="1029">
    <w:name w:val="Document Map"/>
    <w:basedOn w:val="1019"/>
    <w:link w:val="1056"/>
    <w:uiPriority w:val="99"/>
    <w:unhideWhenUsed/>
    <w:qFormat/>
    <w:rPr>
      <w:rFonts w:ascii="宋体"/>
      <w:sz w:val="18"/>
      <w:szCs w:val="18"/>
    </w:rPr>
  </w:style>
  <w:style w:type="paragraph" w:styleId="1030">
    <w:name w:val="annotation text"/>
    <w:basedOn w:val="1019"/>
    <w:link w:val="1057"/>
    <w:uiPriority w:val="99"/>
    <w:qFormat/>
    <w:pPr>
      <w:jc w:val="left"/>
    </w:pPr>
    <w:rPr>
      <w:rFonts w:ascii="Times New Roman" w:hAnsi="Times New Roman"/>
      <w:szCs w:val="24"/>
    </w:rPr>
  </w:style>
  <w:style w:type="paragraph" w:styleId="1031">
    <w:name w:val="Body Text Indent"/>
    <w:basedOn w:val="1019"/>
    <w:next w:val="1032"/>
    <w:link w:val="1058"/>
    <w:unhideWhenUsed/>
    <w:qFormat/>
    <w:pPr>
      <w:ind w:left="420"/>
      <w:spacing w:after="120"/>
    </w:pPr>
    <w:rPr>
      <w:rFonts w:eastAsia="Calibri"/>
      <w:sz w:val="20"/>
      <w:szCs w:val="20"/>
      <w:lang w:val="zh-CN"/>
    </w:rPr>
  </w:style>
  <w:style w:type="paragraph" w:styleId="1032">
    <w:name w:val="envelope return"/>
    <w:basedOn w:val="1019"/>
    <w:qFormat/>
    <w:rPr>
      <w:rFonts w:ascii="Arial" w:hAnsi="Arial"/>
      <w:szCs w:val="24"/>
    </w:rPr>
  </w:style>
  <w:style w:type="paragraph" w:styleId="1033">
    <w:name w:val="Plain Text"/>
    <w:basedOn w:val="1019"/>
    <w:next w:val="1027"/>
    <w:link w:val="1059"/>
    <w:qFormat/>
    <w:rPr>
      <w:rFonts w:hint="eastAsia" w:ascii="宋体" w:hAnsi="Courier New"/>
      <w:szCs w:val="20"/>
    </w:rPr>
  </w:style>
  <w:style w:type="paragraph" w:styleId="1034">
    <w:name w:val="Balloon Text"/>
    <w:basedOn w:val="1019"/>
    <w:link w:val="1060"/>
    <w:unhideWhenUsed/>
    <w:qFormat/>
    <w:rPr>
      <w:sz w:val="18"/>
      <w:szCs w:val="18"/>
    </w:rPr>
  </w:style>
  <w:style w:type="paragraph" w:styleId="1035">
    <w:name w:val="Footer"/>
    <w:basedOn w:val="1019"/>
    <w:link w:val="1051"/>
    <w:uiPriority w:val="99"/>
    <w:unhideWhenUsed/>
    <w:qFormat/>
    <w:pPr>
      <w:jc w:val="left"/>
      <w:tabs>
        <w:tab w:val="center" w:pos="4153" w:leader="none"/>
        <w:tab w:val="right" w:pos="8306" w:leader="none"/>
      </w:tabs>
    </w:pPr>
    <w:rPr>
      <w:sz w:val="18"/>
      <w:szCs w:val="18"/>
    </w:rPr>
  </w:style>
  <w:style w:type="paragraph" w:styleId="1036">
    <w:name w:val="Header"/>
    <w:basedOn w:val="1019"/>
    <w:link w:val="1050"/>
    <w:uiPriority w:val="99"/>
    <w:unhideWhenUsed/>
    <w:qFormat/>
    <w:pPr>
      <w:jc w:val="center"/>
      <w:tabs>
        <w:tab w:val="center" w:pos="4153" w:leader="none"/>
        <w:tab w:val="right" w:pos="8306" w:leader="none"/>
      </w:tabs>
    </w:pPr>
    <w:rPr>
      <w:sz w:val="18"/>
      <w:szCs w:val="18"/>
    </w:rPr>
  </w:style>
  <w:style w:type="paragraph" w:styleId="1037">
    <w:name w:val="toc 1"/>
    <w:basedOn w:val="1019"/>
    <w:next w:val="1019"/>
    <w:uiPriority w:val="39"/>
    <w:unhideWhenUsed/>
    <w:qFormat/>
    <w:rPr>
      <w:rFonts w:ascii="宋体" w:hAnsi="宋体" w:cs="宋体"/>
      <w:b/>
      <w:sz w:val="32"/>
    </w:rPr>
  </w:style>
  <w:style w:type="paragraph" w:styleId="1038">
    <w:name w:val="toc 4"/>
    <w:basedOn w:val="1019"/>
    <w:next w:val="1019"/>
    <w:uiPriority w:val="39"/>
    <w:unhideWhenUsed/>
    <w:qFormat/>
    <w:pPr>
      <w:ind w:left="1260"/>
    </w:pPr>
  </w:style>
  <w:style w:type="paragraph" w:styleId="1039">
    <w:name w:val="footnote text"/>
    <w:basedOn w:val="1019"/>
    <w:next w:val="1028"/>
    <w:qFormat/>
    <w:pPr>
      <w:ind w:firstLine="425"/>
      <w:jc w:val="left"/>
      <w:spacing w:before="120" w:line="360" w:lineRule="auto"/>
    </w:pPr>
    <w:rPr>
      <w:sz w:val="18"/>
      <w:szCs w:val="20"/>
    </w:rPr>
  </w:style>
  <w:style w:type="paragraph" w:styleId="1040">
    <w:name w:val="Normal (Web)"/>
    <w:basedOn w:val="1019"/>
    <w:link w:val="1065"/>
    <w:uiPriority w:val="9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1041">
    <w:name w:val="annotation subject"/>
    <w:basedOn w:val="1030"/>
    <w:next w:val="1030"/>
    <w:link w:val="1061"/>
    <w:uiPriority w:val="99"/>
    <w:unhideWhenUsed/>
    <w:qFormat/>
    <w:rPr>
      <w:rFonts w:ascii="Calibri" w:hAnsi="Calibri"/>
      <w:b/>
      <w:bCs/>
      <w:szCs w:val="22"/>
    </w:rPr>
  </w:style>
  <w:style w:type="table" w:styleId="1042">
    <w:name w:val="Table Grid"/>
    <w:basedOn w:val="10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3">
    <w:name w:val="Strong"/>
    <w:basedOn w:val="1023"/>
    <w:uiPriority w:val="22"/>
    <w:qFormat/>
    <w:rPr>
      <w:rFonts w:ascii="Times New Roman" w:hAnsi="Times New Roman" w:eastAsia="宋体" w:cs="Times New Roman"/>
      <w:b/>
    </w:rPr>
  </w:style>
  <w:style w:type="character" w:styleId="1044">
    <w:name w:val="page number"/>
    <w:qFormat/>
  </w:style>
  <w:style w:type="character" w:styleId="1045">
    <w:name w:val="Emphasis"/>
    <w:basedOn w:val="1023"/>
    <w:uiPriority w:val="20"/>
    <w:qFormat/>
    <w:rPr>
      <w:i/>
      <w:iCs/>
    </w:rPr>
  </w:style>
  <w:style w:type="character" w:styleId="1046">
    <w:name w:val="Hyperlink"/>
    <w:uiPriority w:val="99"/>
    <w:qFormat/>
    <w:rPr>
      <w:color w:val="0000ff"/>
      <w:u w:val="single"/>
    </w:rPr>
  </w:style>
  <w:style w:type="character" w:styleId="1047">
    <w:name w:val="annotation reference"/>
    <w:uiPriority w:val="99"/>
    <w:qFormat/>
    <w:rPr>
      <w:sz w:val="21"/>
      <w:szCs w:val="21"/>
    </w:rPr>
  </w:style>
  <w:style w:type="paragraph" w:styleId="1048" w:customStyle="1">
    <w:name w:val="正文文本111"/>
    <w:basedOn w:val="1019"/>
    <w:next w:val="1049"/>
    <w:qFormat/>
    <w:pPr>
      <w:spacing w:before="120" w:line="22" w:lineRule="atLeast"/>
      <w:tabs>
        <w:tab w:val="left" w:pos="567" w:leader="none"/>
      </w:tabs>
    </w:pPr>
    <w:rPr>
      <w:rFonts w:ascii="宋体" w:hAnsi="宋体"/>
      <w:sz w:val="24"/>
      <w:szCs w:val="20"/>
    </w:rPr>
  </w:style>
  <w:style w:type="paragraph" w:styleId="1049" w:customStyle="1">
    <w:name w:val="目录 211"/>
    <w:basedOn w:val="1019"/>
    <w:next w:val="1019"/>
    <w:uiPriority w:val="39"/>
    <w:unhideWhenUsed/>
    <w:qFormat/>
    <w:pPr>
      <w:ind w:left="283"/>
      <w:spacing w:after="57"/>
    </w:pPr>
  </w:style>
  <w:style w:type="character" w:styleId="1050" w:customStyle="1">
    <w:name w:val="页眉 字符"/>
    <w:basedOn w:val="1023"/>
    <w:link w:val="1036"/>
    <w:uiPriority w:val="99"/>
    <w:qFormat/>
    <w:rPr>
      <w:sz w:val="18"/>
      <w:szCs w:val="18"/>
    </w:rPr>
  </w:style>
  <w:style w:type="character" w:styleId="1051" w:customStyle="1">
    <w:name w:val="页脚 字符"/>
    <w:basedOn w:val="1023"/>
    <w:link w:val="1035"/>
    <w:uiPriority w:val="99"/>
    <w:qFormat/>
    <w:rPr>
      <w:sz w:val="18"/>
      <w:szCs w:val="18"/>
    </w:rPr>
  </w:style>
  <w:style w:type="character" w:styleId="1052" w:customStyle="1">
    <w:name w:val="标题 1 字符"/>
    <w:basedOn w:val="1023"/>
    <w:qFormat/>
    <w:rPr>
      <w:rFonts w:ascii="Calibri" w:hAnsi="Calibri" w:eastAsia="宋体" w:cs="Times New Roman"/>
      <w:b/>
      <w:bCs/>
      <w:sz w:val="44"/>
      <w:szCs w:val="44"/>
      <w14:ligatures w14:val="none"/>
    </w:rPr>
  </w:style>
  <w:style w:type="character" w:styleId="1053" w:customStyle="1">
    <w:name w:val="标题 2 字符"/>
    <w:basedOn w:val="1023"/>
    <w:qFormat/>
    <w:rPr>
      <w:rFonts w:asciiTheme="majorHAnsi" w:hAnsiTheme="majorHAnsi" w:eastAsiaTheme="majorEastAsia" w:cstheme="majorBidi"/>
      <w:b/>
      <w:bCs/>
      <w:sz w:val="32"/>
      <w:szCs w:val="32"/>
      <w14:ligatures w14:val="none"/>
    </w:rPr>
  </w:style>
  <w:style w:type="character" w:styleId="1054" w:customStyle="1">
    <w:name w:val="标题 3 字符"/>
    <w:basedOn w:val="1023"/>
    <w:link w:val="1022"/>
    <w:uiPriority w:val="9"/>
    <w:qFormat/>
    <w:rPr>
      <w:rFonts w:ascii="Calibri" w:hAnsi="Calibri" w:eastAsia="宋体" w:cs="Times New Roman"/>
      <w:b/>
      <w:bCs/>
      <w:sz w:val="32"/>
      <w:szCs w:val="32"/>
      <w14:ligatures w14:val="none"/>
    </w:rPr>
  </w:style>
  <w:style w:type="character" w:styleId="1055" w:customStyle="1">
    <w:name w:val="正文文本 字符"/>
    <w:basedOn w:val="1023"/>
    <w:link w:val="1026"/>
    <w:qFormat/>
    <w:rPr>
      <w:rFonts w:ascii="Calibri" w:hAnsi="Calibri" w:eastAsia="宋体" w:cs="Times New Roman"/>
      <w14:ligatures w14:val="none"/>
    </w:rPr>
  </w:style>
  <w:style w:type="character" w:styleId="1056" w:customStyle="1">
    <w:name w:val="文档结构图 字符"/>
    <w:basedOn w:val="1023"/>
    <w:link w:val="1029"/>
    <w:uiPriority w:val="99"/>
    <w:qFormat/>
    <w:rPr>
      <w:rFonts w:ascii="宋体" w:hAnsi="Calibri" w:eastAsia="宋体" w:cs="Times New Roman"/>
      <w:sz w:val="18"/>
      <w:szCs w:val="18"/>
      <w14:ligatures w14:val="none"/>
    </w:rPr>
  </w:style>
  <w:style w:type="character" w:styleId="1057" w:customStyle="1">
    <w:name w:val="批注文字 字符"/>
    <w:basedOn w:val="1023"/>
    <w:link w:val="1030"/>
    <w:uiPriority w:val="99"/>
    <w:qFormat/>
    <w:rPr>
      <w:rFonts w:ascii="Times New Roman" w:hAnsi="Times New Roman" w:eastAsia="宋体" w:cs="Times New Roman"/>
      <w:szCs w:val="24"/>
      <w14:ligatures w14:val="none"/>
    </w:rPr>
  </w:style>
  <w:style w:type="character" w:styleId="1058" w:customStyle="1">
    <w:name w:val="正文文本缩进 字符"/>
    <w:basedOn w:val="1023"/>
    <w:link w:val="1031"/>
    <w:qFormat/>
    <w:rPr>
      <w:rFonts w:ascii="Calibri" w:hAnsi="Calibri" w:eastAsia="Calibri" w:cs="Times New Roman"/>
      <w:sz w:val="20"/>
      <w:szCs w:val="20"/>
      <w:lang w:val="zh-CN"/>
      <w14:ligatures w14:val="none"/>
    </w:rPr>
  </w:style>
  <w:style w:type="character" w:styleId="1059" w:customStyle="1">
    <w:name w:val="纯文本 字符"/>
    <w:basedOn w:val="1023"/>
    <w:link w:val="1033"/>
    <w:qFormat/>
    <w:rPr>
      <w:rFonts w:ascii="宋体" w:hAnsi="Courier New" w:eastAsia="宋体" w:cs="Times New Roman"/>
      <w:szCs w:val="20"/>
      <w14:ligatures w14:val="none"/>
    </w:rPr>
  </w:style>
  <w:style w:type="character" w:styleId="1060" w:customStyle="1">
    <w:name w:val="批注框文本 字符"/>
    <w:basedOn w:val="1023"/>
    <w:link w:val="1034"/>
    <w:qFormat/>
    <w:rPr>
      <w:rFonts w:ascii="Calibri" w:hAnsi="Calibri" w:eastAsia="宋体" w:cs="Times New Roman"/>
      <w:sz w:val="18"/>
      <w:szCs w:val="18"/>
      <w14:ligatures w14:val="none"/>
    </w:rPr>
  </w:style>
  <w:style w:type="character" w:styleId="1061" w:customStyle="1">
    <w:name w:val="批注主题 字符"/>
    <w:basedOn w:val="1057"/>
    <w:link w:val="1041"/>
    <w:uiPriority w:val="99"/>
    <w:qFormat/>
    <w:rPr>
      <w:rFonts w:ascii="Calibri" w:hAnsi="Calibri" w:eastAsia="宋体" w:cs="Times New Roman"/>
      <w:b/>
      <w:bCs/>
      <w:szCs w:val="24"/>
      <w14:ligatures w14:val="none"/>
    </w:rPr>
  </w:style>
  <w:style w:type="character" w:styleId="1062" w:customStyle="1">
    <w:name w:val="标题 1 字符1"/>
    <w:basedOn w:val="1023"/>
    <w:link w:val="1020"/>
    <w:uiPriority w:val="9"/>
    <w:qFormat/>
    <w:rPr>
      <w:rFonts w:ascii="Calibri" w:hAnsi="Calibri" w:eastAsia="宋体" w:cs="Times New Roman"/>
      <w:b/>
      <w:sz w:val="36"/>
      <w:szCs w:val="36"/>
      <w14:ligatures w14:val="none"/>
    </w:rPr>
  </w:style>
  <w:style w:type="character" w:styleId="1063" w:customStyle="1">
    <w:name w:val="标题 2 字符1"/>
    <w:basedOn w:val="1023"/>
    <w:link w:val="1021"/>
    <w:uiPriority w:val="9"/>
    <w:qFormat/>
    <w:rPr>
      <w:rFonts w:ascii="Cambria" w:hAnsi="Cambria" w:eastAsia="宋体" w:cs="Times New Roman"/>
      <w:b/>
      <w:bCs/>
      <w:sz w:val="32"/>
      <w:szCs w:val="32"/>
      <w14:ligatures w14:val="none"/>
    </w:rPr>
  </w:style>
  <w:style w:type="character" w:styleId="1064" w:customStyle="1">
    <w:name w:val="正文缩进 字符"/>
    <w:link w:val="1027"/>
    <w:uiPriority w:val="99"/>
    <w:qFormat/>
    <w:rPr>
      <w:rFonts w:ascii="宋体" w:hAnsi="Times New Roman" w:eastAsia="宋体" w:cs="Times New Roman"/>
      <w:sz w:val="24"/>
      <w:szCs w:val="24"/>
      <w14:ligatures w14:val="none"/>
    </w:rPr>
  </w:style>
  <w:style w:type="character" w:styleId="1065" w:customStyle="1">
    <w:name w:val="普通(网站) 字符1"/>
    <w:link w:val="1040"/>
    <w:uiPriority w:val="99"/>
    <w:qFormat/>
    <w:rPr>
      <w:rFonts w:ascii="Arial Unicode MS" w:hAnsi="Arial Unicode MS" w:eastAsia="Arial Unicode MS" w:cs="Arial Unicode MS"/>
      <w:sz w:val="24"/>
      <w:szCs w:val="24"/>
      <w14:ligatures w14:val="none"/>
    </w:rPr>
  </w:style>
  <w:style w:type="paragraph" w:styleId="1066" w:customStyle="1">
    <w:name w:val="Default"/>
    <w:qFormat/>
    <w:pPr>
      <w:widowControl w:val="off"/>
    </w:pPr>
    <w:rPr>
      <w:rFonts w:ascii="宋体" w:hAnsi="Calibri" w:cs="宋体"/>
      <w:color w:val="000000"/>
      <w:sz w:val="24"/>
      <w:szCs w:val="24"/>
    </w:rPr>
  </w:style>
  <w:style w:type="character" w:styleId="1067" w:customStyle="1">
    <w:name w:val="NormalCharacter"/>
    <w:basedOn w:val="1023"/>
    <w:qFormat/>
  </w:style>
  <w:style w:type="paragraph" w:styleId="1068">
    <w:name w:val="List Paragraph"/>
    <w:basedOn w:val="1019"/>
    <w:link w:val="1069"/>
    <w:uiPriority w:val="34"/>
    <w:qFormat/>
    <w:pPr>
      <w:ind w:firstLine="420"/>
    </w:pPr>
  </w:style>
  <w:style w:type="character" w:styleId="1069" w:customStyle="1">
    <w:name w:val="列表段落 字符1"/>
    <w:link w:val="1068"/>
    <w:uiPriority w:val="34"/>
    <w:qFormat/>
    <w:rPr>
      <w:rFonts w:ascii="Calibri" w:hAnsi="Calibri" w:eastAsia="宋体" w:cs="Times New Roman"/>
      <w14:ligatures w14:val="none"/>
    </w:rPr>
  </w:style>
  <w:style w:type="character" w:styleId="1070" w:customStyle="1">
    <w:name w:val="批注文字 Char"/>
    <w:basedOn w:val="1023"/>
    <w:uiPriority w:val="99"/>
    <w:qFormat/>
  </w:style>
  <w:style w:type="paragraph" w:styleId="1071" w:customStyle="1">
    <w:name w:val="图例"/>
    <w:basedOn w:val="1019"/>
    <w:qFormat/>
    <w:pPr>
      <w:jc w:val="center"/>
      <w:spacing w:before="120" w:after="120" w:line="360" w:lineRule="auto"/>
    </w:pPr>
    <w:rPr>
      <w:rFonts w:ascii="Times New Roman" w:hAnsi="Times New Roman" w:eastAsia="仿宋_GB2312"/>
      <w:b/>
      <w:sz w:val="24"/>
      <w:szCs w:val="20"/>
    </w:rPr>
  </w:style>
  <w:style w:type="paragraph" w:styleId="1072" w:customStyle="1">
    <w:name w:val="Table Paragraph"/>
    <w:basedOn w:val="1019"/>
    <w:uiPriority w:val="1"/>
    <w:qFormat/>
    <w:pPr>
      <w:jc w:val="left"/>
    </w:pPr>
    <w:rPr>
      <w:rFonts w:ascii="宋体" w:hAnsi="宋体" w:cs="宋体"/>
      <w:sz w:val="22"/>
      <w:lang w:eastAsia="en-US"/>
    </w:rPr>
  </w:style>
  <w:style w:type="paragraph" w:styleId="1073" w:customStyle="1">
    <w:name w:val="179"/>
    <w:basedOn w:val="1019"/>
    <w:qFormat/>
    <w:pPr>
      <w:ind w:firstLine="420"/>
    </w:pPr>
  </w:style>
  <w:style w:type="paragraph" w:styleId="1074" w:customStyle="1">
    <w:name w:val="成文日期"/>
    <w:basedOn w:val="1019"/>
    <w:link w:val="1075"/>
    <w:qFormat/>
    <w:pPr>
      <w:ind w:right="400" w:firstLine="200"/>
      <w:jc w:val="right"/>
      <w:spacing w:line="570" w:lineRule="exact"/>
    </w:pPr>
    <w:rPr>
      <w:rFonts w:ascii="仿宋_GB2312" w:hAnsi="Times New Roman" w:eastAsia="仿宋_GB2312"/>
      <w:sz w:val="32"/>
      <w:szCs w:val="20"/>
    </w:rPr>
  </w:style>
  <w:style w:type="character" w:styleId="1075" w:customStyle="1">
    <w:name w:val="成文日期 Char"/>
    <w:link w:val="1074"/>
    <w:qFormat/>
    <w:rPr>
      <w:rFonts w:ascii="仿宋_GB2312" w:hAnsi="Times New Roman" w:eastAsia="仿宋_GB2312" w:cs="Times New Roman"/>
      <w:sz w:val="32"/>
      <w:szCs w:val="20"/>
      <w14:ligatures w14:val="none"/>
    </w:rPr>
  </w:style>
  <w:style w:type="paragraph" w:styleId="1076" w:customStyle="1">
    <w:name w:val="Plain Text1"/>
    <w:next w:val="1038"/>
    <w:qFormat/>
    <w:pPr>
      <w:jc w:val="both"/>
      <w:widowControl w:val="off"/>
    </w:pPr>
    <w:rPr>
      <w:rFonts w:ascii="宋体" w:hAnsi="宋体" w:eastAsia="楷体_GB2312"/>
      <w:sz w:val="26"/>
      <w:szCs w:val="22"/>
    </w:rPr>
  </w:style>
  <w:style w:type="character" w:styleId="1077" w:customStyle="1">
    <w:name w:val="正文缩进 Char1"/>
    <w:uiPriority w:val="99"/>
    <w:qFormat/>
    <w:rPr>
      <w:rFonts w:ascii="宋体" w:eastAsia="宋体"/>
      <w:sz w:val="24"/>
      <w:szCs w:val="24"/>
      <w:lang w:val="en-US" w:eastAsia="zh-CN" w:bidi="ar-SA"/>
    </w:rPr>
  </w:style>
  <w:style w:type="paragraph" w:styleId="1078" w:customStyle="1">
    <w:name w:val="列表段落1"/>
    <w:basedOn w:val="1019"/>
    <w:qFormat/>
    <w:pPr>
      <w:ind w:firstLine="420"/>
      <w:jc w:val="left"/>
    </w:pPr>
    <w:rPr>
      <w:sz w:val="20"/>
      <w:szCs w:val="20"/>
    </w:rPr>
  </w:style>
  <w:style w:type="paragraph" w:styleId="1079" w:customStyle="1">
    <w:name w:val="p0"/>
    <w:basedOn w:val="1019"/>
    <w:qFormat/>
    <w:pPr>
      <w:widowControl/>
    </w:pPr>
    <w:rPr>
      <w:szCs w:val="24"/>
    </w:rPr>
  </w:style>
  <w:style w:type="character" w:styleId="1080" w:customStyle="1">
    <w:name w:val="列表段落 字符"/>
    <w:link w:val="1081"/>
    <w:uiPriority w:val="34"/>
    <w:qFormat/>
    <w:rPr>
      <w:rFonts w:ascii="Calibri" w:hAnsi="Calibri"/>
    </w:rPr>
  </w:style>
  <w:style w:type="paragraph" w:styleId="1081" w:customStyle="1">
    <w:name w:val="_Style 50"/>
    <w:basedOn w:val="1019"/>
    <w:next w:val="1068"/>
    <w:link w:val="1080"/>
    <w:uiPriority w:val="34"/>
    <w:qFormat/>
    <w:pPr>
      <w:ind w:firstLine="420"/>
    </w:pPr>
    <w:rPr>
      <w:rFonts w:eastAsiaTheme="minorEastAsia" w:cstheme="minorBidi"/>
      <w14:ligatures w14:val="standardContextual"/>
    </w:rPr>
  </w:style>
  <w:style w:type="character" w:styleId="1082" w:customStyle="1">
    <w:name w:val="批注主题 Char1"/>
    <w:uiPriority w:val="99"/>
    <w:semiHidden/>
    <w:qFormat/>
    <w:rPr>
      <w:b/>
      <w:bCs/>
      <w:sz w:val="21"/>
      <w:szCs w:val="24"/>
    </w:rPr>
  </w:style>
  <w:style w:type="character" w:styleId="1083" w:customStyle="1">
    <w:name w:val="纯文本 字符2"/>
    <w:qFormat/>
    <w:rPr>
      <w:rFonts w:hint="eastAsia" w:ascii="宋体" w:hAnsi="Courier New" w:eastAsia="宋体" w:cs="宋体"/>
      <w:sz w:val="21"/>
    </w:rPr>
  </w:style>
  <w:style w:type="character" w:styleId="1084" w:customStyle="1">
    <w:name w:val="普通(网站) 字符"/>
    <w:qFormat/>
    <w:rPr>
      <w:rFonts w:ascii="宋体" w:hAnsi="宋体" w:cs="宋体"/>
      <w:sz w:val="24"/>
      <w:szCs w:val="24"/>
    </w:rPr>
  </w:style>
  <w:style w:type="paragraph" w:styleId="1085" w:customStyle="1">
    <w:name w:val="修订1"/>
    <w:uiPriority w:val="99"/>
    <w:unhideWhenUsed/>
    <w:qFormat/>
    <w:rPr>
      <w:rFonts w:ascii="Calibri" w:hAnsi="Calibri"/>
      <w:sz w:val="21"/>
      <w:szCs w:val="22"/>
    </w:rPr>
  </w:style>
  <w:style w:type="paragraph" w:styleId="1086" w:customStyle="1">
    <w:name w:val="标题 21"/>
    <w:basedOn w:val="1019"/>
    <w:next w:val="1019"/>
    <w:qFormat/>
    <w:pPr>
      <w:jc w:val="center"/>
      <w:keepLines/>
      <w:keepNext/>
      <w:spacing w:before="260" w:after="260" w:line="416" w:lineRule="auto"/>
      <w:outlineLvl w:val="1"/>
    </w:pPr>
    <w:rPr>
      <w:rFonts w:ascii="幼圆" w:hAnsi="Arial" w:eastAsia="楷体_GB2312"/>
      <w:b/>
      <w:sz w:val="44"/>
      <w:szCs w:val="20"/>
    </w:rPr>
  </w:style>
  <w:style w:type="paragraph" w:styleId="1087" w:customStyle="1">
    <w:name w:val="UserStyle_80"/>
    <w:basedOn w:val="1019"/>
    <w:next w:val="1019"/>
    <w:qFormat/>
    <w:pPr>
      <w:ind w:firstLine="420"/>
      <w:widowControl/>
    </w:pPr>
    <w:rPr>
      <w:rFonts w:ascii="Times New Roman" w:hAnsi="Times New Roman"/>
      <w:sz w:val="24"/>
      <w:szCs w:val="20"/>
    </w:rPr>
  </w:style>
  <w:style w:type="character" w:styleId="1088" w:customStyle="1">
    <w:name w:val="Heading 3 Char"/>
    <w:basedOn w:val="1023"/>
    <w:uiPriority w:val="9"/>
    <w:qFormat/>
    <w:rPr>
      <w:rFonts w:ascii="Arial" w:hAnsi="Arial" w:eastAsia="Arial" w:cs="Arial"/>
      <w:sz w:val="30"/>
      <w:szCs w:val="30"/>
    </w:rPr>
  </w:style>
  <w:style w:type="paragraph" w:styleId="1089" w:customStyle="1">
    <w:name w:val="修订2"/>
    <w:hidden/>
    <w:uiPriority w:val="99"/>
    <w:unhideWhenUsed/>
    <w:qFormat/>
    <w:rPr>
      <w:rFonts w:ascii="Calibri" w:hAnsi="Calibri"/>
      <w:sz w:val="21"/>
      <w:szCs w:val="22"/>
    </w:rPr>
  </w:style>
  <w:style w:type="paragraph" w:styleId="1090" w:customStyle="1">
    <w:name w:val="正文格式"/>
    <w:basedOn w:val="1019"/>
    <w:qFormat/>
    <w:pPr>
      <w:ind w:firstLine="480"/>
      <w:spacing w:line="360" w:lineRule="auto"/>
    </w:pPr>
    <w:rPr>
      <w:rFonts w:ascii="宋体" w:hAnsi="宋体"/>
      <w:sz w:val="24"/>
      <w:lang w:val="en-GB"/>
    </w:rPr>
  </w:style>
  <w:style w:type="paragraph" w:styleId="1091" w:customStyle="1">
    <w:name w:val="并列项-点"/>
    <w:basedOn w:val="1019"/>
    <w:qFormat/>
    <w:pPr>
      <w:numPr>
        <w:numId w:val="1"/>
      </w:numPr>
      <w:spacing w:line="360" w:lineRule="auto"/>
      <w:widowControl/>
      <w:tabs>
        <w:tab w:val="left" w:pos="851" w:leader="none"/>
      </w:tabs>
    </w:pPr>
    <w:rPr>
      <w:sz w:val="24"/>
      <w:szCs w:val="20"/>
    </w:rPr>
  </w:style>
  <w:style w:type="character" w:styleId="1092" w:customStyle="1">
    <w:name w:val="纯文本 字符1"/>
    <w:uiPriority w:val="99"/>
    <w:qFormat/>
    <w:rPr>
      <w:rFonts w:ascii="宋体" w:hAnsi="Courier New" w:eastAsia="宋体" w:cs="Times New Roman"/>
      <w:szCs w:val="20"/>
    </w:rPr>
  </w:style>
  <w:style w:type="paragraph" w:styleId="1093" w:customStyle="1">
    <w:name w:val="修订3"/>
    <w:hidden/>
    <w:uiPriority w:val="99"/>
    <w:unhideWhenUsed/>
    <w:qFormat/>
    <w:rPr>
      <w:rFonts w:ascii="Calibri" w:hAnsi="Calibri"/>
      <w:sz w:val="21"/>
      <w:szCs w:val="22"/>
    </w:rPr>
  </w:style>
  <w:style w:type="character" w:styleId="1094" w:customStyle="1">
    <w:name w:val="font51"/>
    <w:basedOn w:val="1023"/>
    <w:qFormat/>
    <w:rPr>
      <w:rFonts w:hint="eastAsia" w:ascii="宋体" w:hAnsi="宋体" w:eastAsia="宋体" w:cs="宋体"/>
      <w:color w:val="000000"/>
      <w:sz w:val="18"/>
      <w:szCs w:val="18"/>
      <w:u w:val="none"/>
    </w:rPr>
  </w:style>
  <w:style w:type="paragraph" w:styleId="1095" w:customStyle="1">
    <w:name w:val="修订4"/>
    <w:hidden/>
    <w:uiPriority w:val="99"/>
    <w:unhideWhenUsed/>
    <w:qFormat/>
    <w:rPr>
      <w:rFonts w:ascii="Calibri" w:hAnsi="Calibri"/>
      <w:sz w:val="21"/>
      <w:szCs w:val="22"/>
    </w:rPr>
  </w:style>
  <w:style w:type="character" w:styleId="1096" w:customStyle="1">
    <w:name w:val="font31"/>
    <w:basedOn w:val="1023"/>
    <w:qFormat/>
    <w:rPr>
      <w:rFonts w:hint="eastAsia" w:ascii="宋体" w:hAnsi="宋体" w:eastAsia="宋体" w:cs="宋体"/>
      <w:color w:val="000000"/>
      <w:sz w:val="18"/>
      <w:szCs w:val="18"/>
      <w:u w:val="none"/>
    </w:rPr>
  </w:style>
  <w:style w:type="character" w:styleId="1097" w:customStyle="1">
    <w:name w:val="font41"/>
    <w:basedOn w:val="1023"/>
    <w:qFormat/>
    <w:rPr>
      <w:rFonts w:hint="eastAsia" w:ascii="黑体" w:hAnsi="宋体" w:eastAsia="黑体" w:cs="黑体"/>
      <w:color w:val="000000"/>
      <w:sz w:val="21"/>
      <w:szCs w:val="21"/>
      <w:u w:val="none"/>
    </w:rPr>
  </w:style>
  <w:style w:type="character" w:styleId="1098" w:customStyle="1">
    <w:name w:val="font01"/>
    <w:qFormat/>
    <w:rPr>
      <w:rFonts w:hint="eastAsia" w:ascii="宋体" w:hAnsi="宋体" w:eastAsia="宋体" w:cs="宋体"/>
      <w:color w:val="000000"/>
      <w:sz w:val="18"/>
      <w:szCs w:val="18"/>
      <w:u w:val="none"/>
    </w:rPr>
  </w:style>
  <w:style w:type="paragraph" w:styleId="1099" w:customStyle="1">
    <w:name w:val="正文 A"/>
    <w:qFormat/>
    <w:pPr>
      <w:jc w:val="both"/>
      <w:widowControl w:val="off"/>
    </w:pPr>
    <w:rPr>
      <w:rFonts w:eastAsia="Times New Roman"/>
      <w:color w:val="000000"/>
      <w:sz w:val="21"/>
      <w:szCs w:val="21"/>
    </w:rPr>
  </w:style>
  <w:style w:type="paragraph" w:styleId="1100" w:customStyle="1">
    <w:name w:val="正文首行缩进 21"/>
    <w:basedOn w:val="1101"/>
    <w:qFormat/>
    <w:pPr>
      <w:ind w:left="420" w:firstLine="420"/>
      <w:spacing w:after="120" w:line="480" w:lineRule="exact"/>
    </w:pPr>
  </w:style>
  <w:style w:type="paragraph" w:styleId="1101" w:customStyle="1">
    <w:name w:val="正文文本缩进11"/>
    <w:basedOn w:val="1019"/>
    <w:qFormat/>
    <w:pPr>
      <w:ind w:firstLine="570"/>
      <w:spacing w:line="360" w:lineRule="auto"/>
    </w:pPr>
    <w:rPr>
      <w:sz w:val="24"/>
    </w:rPr>
  </w:style>
  <w:style w:type="paragraph" w:styleId="1102" w:customStyle="1">
    <w:name w:val="纯文本1"/>
    <w:basedOn w:val="1019"/>
    <w:qFormat/>
    <w:pPr>
      <w:jc w:val="left"/>
      <w:widowControl/>
    </w:pPr>
    <w:rPr>
      <w:rFonts w:ascii="宋体" w:hAnsi="Courier New" w:eastAsia="楷体_GB2312"/>
      <w:sz w:val="26"/>
      <w:szCs w:val="20"/>
    </w:rPr>
  </w:style>
  <w:style w:type="character" w:styleId="1103" w:customStyle="1">
    <w:name w:val="页码1"/>
    <w:qFormat/>
    <w:rPr>
      <w:rFonts w:cs="Times New Roman"/>
    </w:rPr>
  </w:style>
  <w:style w:type="table" w:styleId="1104" w:customStyle="1">
    <w:name w:val="Table Normal"/>
    <w:semiHidden/>
    <w:unhideWhenUsed/>
    <w:qFormat/>
    <w:tblPr>
      <w:tblCellMar>
        <w:left w:w="0" w:type="dxa"/>
        <w:top w:w="0" w:type="dxa"/>
        <w:right w:w="0" w:type="dxa"/>
        <w:bottom w:w="0" w:type="dxa"/>
      </w:tblCellMar>
    </w:tblPr>
  </w:style>
  <w:style w:type="paragraph" w:styleId="1105" w:customStyle="1">
    <w:name w:val="Table Text"/>
    <w:basedOn w:val="1019"/>
    <w:semiHidden/>
    <w:qFormat/>
    <w:rPr>
      <w:rFonts w:ascii="仿宋" w:hAnsi="仿宋" w:eastAsia="仿宋" w:cs="仿宋"/>
      <w:sz w:val="24"/>
      <w:szCs w:val="24"/>
      <w:lang w:eastAsia="en-US"/>
    </w:rPr>
  </w:style>
  <w:style w:type="paragraph" w:styleId="1106" w:customStyle="1">
    <w:name w:val="纯文本11"/>
    <w:basedOn w:val="1019"/>
    <w:qFormat/>
    <w:rPr>
      <w:rFonts w:hint="eastAsia" w:ascii="宋体" w:hAnsi="Courier New"/>
      <w:szCs w:val="20"/>
    </w:rPr>
  </w:style>
  <w:style w:type="paragraph" w:styleId="1107" w:customStyle="1">
    <w:name w:val="修订5"/>
    <w:hidden/>
    <w:uiPriority w:val="99"/>
    <w:unhideWhenUsed/>
    <w:qFormat/>
    <w:rPr>
      <w:rFonts w:ascii="Calibri" w:hAnsi="Calibri"/>
      <w:sz w:val="21"/>
      <w:szCs w:val="22"/>
    </w:rPr>
  </w:style>
  <w:style w:type="paragraph" w:styleId="1108" w:customStyle="1">
    <w:name w:val="标题 31"/>
    <w:basedOn w:val="1019"/>
    <w:next w:val="1019"/>
    <w:link w:val="1109"/>
    <w:qFormat/>
    <w:pPr>
      <w:jc w:val="left"/>
      <w:keepLines/>
      <w:keepNext/>
      <w:spacing w:before="360" w:after="120"/>
      <w:outlineLvl w:val="2"/>
    </w:pPr>
    <w:rPr>
      <w:rFonts w:ascii="宋体" w:hAnsi="Times New Roman"/>
      <w:b/>
      <w:sz w:val="24"/>
      <w:szCs w:val="20"/>
      <w:u w:val="single"/>
    </w:rPr>
  </w:style>
  <w:style w:type="character" w:styleId="1109" w:customStyle="1">
    <w:name w:val="标题 3 Char1"/>
    <w:link w:val="1108"/>
    <w:qFormat/>
    <w:rPr>
      <w:rFonts w:ascii="宋体"/>
      <w:b/>
      <w:sz w:val="24"/>
      <w:u w:val="single"/>
    </w:rPr>
  </w:style>
  <w:style w:type="paragraph" w:styleId="1110" w:customStyle="1">
    <w:name w:val="修订6"/>
    <w:hidden/>
    <w:uiPriority w:val="99"/>
    <w:unhideWhenUsed/>
    <w:qFormat/>
    <w:rPr>
      <w:rFonts w:ascii="Calibri" w:hAnsi="Calibr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E8F899-3D53-4E82-8C01-0F01AABB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窦文卓</cp:lastModifiedBy>
  <cp:revision>8</cp:revision>
  <dcterms:created xsi:type="dcterms:W3CDTF">2025-12-10T02:07:00Z</dcterms:created>
  <dcterms:modified xsi:type="dcterms:W3CDTF">2025-12-10T03:08:22Z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A7C748FB63434F138884CF41DF246C72_13</vt:lpwstr>
  </property>
  <property fmtid="{D5CDD505-2E9C-101B-9397-08002B2CF9AE}" pid="4" name="KSOTemplateDocerSaveRecord">
    <vt:lpwstr>eyJoZGlkIjoiZDdjM2M1NmFlODg4YmJmM2M4NzlhNzYxZTFkYWU4YzkiLCJ1c2VySWQiOiI1NDcwNzYxNTYifQ==</vt:lpwstr>
  </property>
</Properties>
</file>